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7D7" w:rsidRPr="00C01CF1" w:rsidRDefault="004A77D7" w:rsidP="00EE3383">
      <w:pPr>
        <w:widowControl/>
        <w:jc w:val="center"/>
        <w:rPr>
          <w:rFonts w:ascii="標楷體" w:eastAsia="標楷體" w:hAnsi="標楷體"/>
          <w:sz w:val="36"/>
          <w:szCs w:val="36"/>
        </w:rPr>
      </w:pPr>
      <w:r w:rsidRPr="00C01CF1">
        <w:rPr>
          <w:rFonts w:ascii="標楷體" w:eastAsia="標楷體" w:hAnsi="標楷體" w:hint="eastAsia"/>
          <w:sz w:val="36"/>
          <w:szCs w:val="36"/>
        </w:rPr>
        <w:t>國立宜蘭大學生物資源學院</w:t>
      </w:r>
    </w:p>
    <w:p w:rsidR="004A77D7" w:rsidRPr="00C01CF1" w:rsidRDefault="004A77D7" w:rsidP="004A77D7">
      <w:pPr>
        <w:spacing w:line="0" w:lineRule="atLeast"/>
        <w:jc w:val="center"/>
        <w:rPr>
          <w:rFonts w:ascii="標楷體" w:eastAsia="標楷體" w:hAnsi="標楷體"/>
          <w:szCs w:val="24"/>
        </w:rPr>
      </w:pPr>
      <w:r w:rsidRPr="00C01CF1">
        <w:rPr>
          <w:rFonts w:ascii="標楷體" w:eastAsia="標楷體" w:hAnsi="標楷體" w:hint="eastAsia"/>
          <w:sz w:val="36"/>
          <w:szCs w:val="36"/>
        </w:rPr>
        <w:t>生物資源產品檢測暨技術推廣中心設置</w:t>
      </w:r>
      <w:r w:rsidR="00F86A7F" w:rsidRPr="00C01CF1">
        <w:rPr>
          <w:rFonts w:ascii="標楷體" w:eastAsia="標楷體" w:hAnsi="標楷體" w:hint="eastAsia"/>
          <w:sz w:val="36"/>
          <w:szCs w:val="36"/>
        </w:rPr>
        <w:t>要點</w:t>
      </w:r>
    </w:p>
    <w:p w:rsidR="00BC44DB" w:rsidRPr="00C01CF1" w:rsidRDefault="00BC44DB" w:rsidP="00BC44DB">
      <w:pPr>
        <w:spacing w:line="240" w:lineRule="exact"/>
        <w:jc w:val="right"/>
        <w:rPr>
          <w:rFonts w:ascii="Times New Roman" w:eastAsia="標楷體" w:hAnsi="Times New Roman"/>
          <w:sz w:val="20"/>
          <w:szCs w:val="24"/>
        </w:rPr>
      </w:pPr>
    </w:p>
    <w:p w:rsidR="004A77D7" w:rsidRPr="00C01CF1" w:rsidRDefault="004A77D7" w:rsidP="00BC44DB">
      <w:pPr>
        <w:spacing w:line="240" w:lineRule="exact"/>
        <w:jc w:val="right"/>
        <w:rPr>
          <w:rFonts w:ascii="Times New Roman" w:eastAsia="標楷體" w:hAnsi="Times New Roman"/>
          <w:sz w:val="20"/>
          <w:szCs w:val="24"/>
        </w:rPr>
      </w:pPr>
      <w:r w:rsidRPr="00C01CF1">
        <w:rPr>
          <w:rFonts w:ascii="Times New Roman" w:eastAsia="標楷體" w:hAnsi="Times New Roman"/>
          <w:sz w:val="20"/>
          <w:szCs w:val="24"/>
        </w:rPr>
        <w:t>103</w:t>
      </w:r>
      <w:r w:rsidRPr="00C01CF1">
        <w:rPr>
          <w:rFonts w:ascii="Times New Roman" w:eastAsia="標楷體" w:hAnsi="Times New Roman"/>
          <w:sz w:val="20"/>
          <w:szCs w:val="24"/>
        </w:rPr>
        <w:t>年</w:t>
      </w:r>
      <w:r w:rsidRPr="00C01CF1">
        <w:rPr>
          <w:rFonts w:ascii="Times New Roman" w:eastAsia="標楷體" w:hAnsi="Times New Roman"/>
          <w:sz w:val="20"/>
          <w:szCs w:val="24"/>
        </w:rPr>
        <w:t>01</w:t>
      </w:r>
      <w:r w:rsidRPr="00C01CF1">
        <w:rPr>
          <w:rFonts w:ascii="Times New Roman" w:eastAsia="標楷體" w:hAnsi="Times New Roman"/>
          <w:sz w:val="20"/>
          <w:szCs w:val="24"/>
        </w:rPr>
        <w:t>月</w:t>
      </w:r>
      <w:r w:rsidRPr="00C01CF1">
        <w:rPr>
          <w:rFonts w:ascii="Times New Roman" w:eastAsia="標楷體" w:hAnsi="Times New Roman"/>
          <w:sz w:val="20"/>
          <w:szCs w:val="24"/>
        </w:rPr>
        <w:t>02</w:t>
      </w:r>
      <w:r w:rsidRPr="00C01CF1">
        <w:rPr>
          <w:rFonts w:ascii="Times New Roman" w:eastAsia="標楷體" w:hAnsi="Times New Roman"/>
          <w:sz w:val="20"/>
          <w:szCs w:val="24"/>
        </w:rPr>
        <w:t>日籌備會議通過</w:t>
      </w:r>
    </w:p>
    <w:p w:rsidR="004A77D7" w:rsidRPr="00C01CF1" w:rsidRDefault="004A77D7" w:rsidP="00BC44DB">
      <w:pPr>
        <w:spacing w:line="240" w:lineRule="exact"/>
        <w:jc w:val="right"/>
        <w:rPr>
          <w:rFonts w:ascii="Times New Roman" w:eastAsia="標楷體" w:hAnsi="Times New Roman"/>
          <w:sz w:val="20"/>
          <w:szCs w:val="24"/>
        </w:rPr>
      </w:pPr>
      <w:r w:rsidRPr="00C01CF1">
        <w:rPr>
          <w:rFonts w:ascii="Times New Roman" w:eastAsia="標楷體" w:hAnsi="Times New Roman"/>
          <w:sz w:val="20"/>
          <w:szCs w:val="24"/>
        </w:rPr>
        <w:t>103.01.09</w:t>
      </w:r>
      <w:r w:rsidRPr="00C01CF1">
        <w:rPr>
          <w:rFonts w:ascii="Times New Roman" w:eastAsia="標楷體" w:hAnsi="Times New Roman"/>
          <w:sz w:val="20"/>
          <w:szCs w:val="24"/>
        </w:rPr>
        <w:t>生資學院</w:t>
      </w:r>
      <w:r w:rsidRPr="00C01CF1">
        <w:rPr>
          <w:rFonts w:ascii="Times New Roman" w:eastAsia="標楷體" w:hAnsi="Times New Roman"/>
          <w:sz w:val="20"/>
          <w:szCs w:val="24"/>
        </w:rPr>
        <w:t>102</w:t>
      </w:r>
      <w:r w:rsidRPr="00C01CF1">
        <w:rPr>
          <w:rFonts w:ascii="Times New Roman" w:eastAsia="標楷體" w:hAnsi="Times New Roman"/>
          <w:sz w:val="20"/>
          <w:szCs w:val="24"/>
        </w:rPr>
        <w:t>學年度第</w:t>
      </w:r>
      <w:r w:rsidRPr="00C01CF1">
        <w:rPr>
          <w:rFonts w:ascii="Times New Roman" w:eastAsia="標楷體" w:hAnsi="Times New Roman"/>
          <w:sz w:val="20"/>
          <w:szCs w:val="24"/>
        </w:rPr>
        <w:t>3</w:t>
      </w:r>
      <w:r w:rsidRPr="00C01CF1">
        <w:rPr>
          <w:rFonts w:ascii="Times New Roman" w:eastAsia="標楷體" w:hAnsi="Times New Roman"/>
          <w:sz w:val="20"/>
          <w:szCs w:val="24"/>
        </w:rPr>
        <w:t>次院務會議通過訂定</w:t>
      </w:r>
    </w:p>
    <w:p w:rsidR="004A77D7" w:rsidRPr="00C01CF1" w:rsidRDefault="004A77D7" w:rsidP="00BC44DB">
      <w:pPr>
        <w:spacing w:line="240" w:lineRule="exact"/>
        <w:jc w:val="right"/>
        <w:rPr>
          <w:rFonts w:ascii="Times New Roman" w:eastAsia="標楷體" w:hAnsi="Times New Roman"/>
          <w:sz w:val="20"/>
          <w:szCs w:val="24"/>
        </w:rPr>
      </w:pPr>
      <w:r w:rsidRPr="00C01CF1">
        <w:rPr>
          <w:rFonts w:ascii="Times New Roman" w:eastAsia="標楷體" w:hAnsi="Times New Roman"/>
          <w:sz w:val="20"/>
          <w:szCs w:val="24"/>
        </w:rPr>
        <w:t>103.06.09</w:t>
      </w:r>
      <w:r w:rsidRPr="00C01CF1">
        <w:rPr>
          <w:rFonts w:ascii="Times New Roman" w:eastAsia="標楷體" w:hAnsi="Times New Roman"/>
          <w:sz w:val="20"/>
          <w:szCs w:val="24"/>
        </w:rPr>
        <w:t>生物資源產品檢測中心第二次會議修訂通過</w:t>
      </w:r>
    </w:p>
    <w:p w:rsidR="004A77D7" w:rsidRPr="00C01CF1" w:rsidRDefault="004A77D7" w:rsidP="00BC44DB">
      <w:pPr>
        <w:spacing w:line="240" w:lineRule="exact"/>
        <w:jc w:val="right"/>
        <w:rPr>
          <w:rFonts w:ascii="Times New Roman" w:eastAsia="標楷體" w:hAnsi="Times New Roman"/>
          <w:sz w:val="20"/>
          <w:szCs w:val="24"/>
        </w:rPr>
      </w:pPr>
      <w:r w:rsidRPr="00C01CF1">
        <w:rPr>
          <w:rFonts w:ascii="Times New Roman" w:eastAsia="標楷體" w:hAnsi="Times New Roman"/>
          <w:sz w:val="20"/>
          <w:szCs w:val="24"/>
        </w:rPr>
        <w:t xml:space="preserve">103.6.24 </w:t>
      </w:r>
      <w:r w:rsidRPr="00C01CF1">
        <w:rPr>
          <w:rFonts w:ascii="Times New Roman" w:eastAsia="標楷體" w:hAnsi="Times New Roman"/>
          <w:sz w:val="20"/>
          <w:szCs w:val="24"/>
        </w:rPr>
        <w:t>生資學院</w:t>
      </w:r>
      <w:r w:rsidRPr="00C01CF1">
        <w:rPr>
          <w:rFonts w:ascii="Times New Roman" w:eastAsia="標楷體" w:hAnsi="Times New Roman"/>
          <w:sz w:val="20"/>
          <w:szCs w:val="24"/>
        </w:rPr>
        <w:t>102</w:t>
      </w:r>
      <w:r w:rsidRPr="00C01CF1">
        <w:rPr>
          <w:rFonts w:ascii="Times New Roman" w:eastAsia="標楷體" w:hAnsi="Times New Roman"/>
          <w:sz w:val="20"/>
          <w:szCs w:val="24"/>
        </w:rPr>
        <w:t>學年度第</w:t>
      </w:r>
      <w:r w:rsidRPr="00C01CF1">
        <w:rPr>
          <w:rFonts w:ascii="Times New Roman" w:eastAsia="標楷體" w:hAnsi="Times New Roman"/>
          <w:sz w:val="20"/>
          <w:szCs w:val="24"/>
        </w:rPr>
        <w:t>6</w:t>
      </w:r>
      <w:r w:rsidRPr="00C01CF1">
        <w:rPr>
          <w:rFonts w:ascii="Times New Roman" w:eastAsia="標楷體" w:hAnsi="Times New Roman"/>
          <w:sz w:val="20"/>
          <w:szCs w:val="24"/>
        </w:rPr>
        <w:t>次院務會議修訂通過</w:t>
      </w:r>
    </w:p>
    <w:p w:rsidR="004A77D7" w:rsidRPr="00C01CF1" w:rsidRDefault="004A77D7" w:rsidP="00BC44DB">
      <w:pPr>
        <w:spacing w:line="240" w:lineRule="exact"/>
        <w:jc w:val="right"/>
        <w:rPr>
          <w:rFonts w:ascii="Times New Roman" w:eastAsia="標楷體" w:hAnsi="Times New Roman"/>
          <w:sz w:val="20"/>
          <w:szCs w:val="24"/>
        </w:rPr>
      </w:pPr>
      <w:r w:rsidRPr="00C01CF1">
        <w:rPr>
          <w:rFonts w:ascii="Times New Roman" w:eastAsia="標楷體" w:hAnsi="Times New Roman"/>
          <w:sz w:val="20"/>
          <w:szCs w:val="24"/>
        </w:rPr>
        <w:t>103.10.3</w:t>
      </w:r>
      <w:r w:rsidRPr="00C01CF1">
        <w:rPr>
          <w:rFonts w:ascii="Times New Roman" w:eastAsia="標楷體" w:hAnsi="Times New Roman"/>
          <w:sz w:val="20"/>
          <w:szCs w:val="24"/>
        </w:rPr>
        <w:t>本校</w:t>
      </w:r>
      <w:r w:rsidRPr="00C01CF1">
        <w:rPr>
          <w:rFonts w:ascii="Times New Roman" w:eastAsia="標楷體" w:hAnsi="Times New Roman"/>
          <w:sz w:val="20"/>
          <w:szCs w:val="24"/>
        </w:rPr>
        <w:t>103</w:t>
      </w:r>
      <w:r w:rsidRPr="00C01CF1">
        <w:rPr>
          <w:rFonts w:ascii="Times New Roman" w:eastAsia="標楷體" w:hAnsi="Times New Roman"/>
          <w:sz w:val="20"/>
          <w:szCs w:val="24"/>
        </w:rPr>
        <w:t>學年度第</w:t>
      </w:r>
      <w:r w:rsidRPr="00C01CF1">
        <w:rPr>
          <w:rFonts w:ascii="Times New Roman" w:eastAsia="標楷體" w:hAnsi="Times New Roman"/>
          <w:sz w:val="20"/>
          <w:szCs w:val="24"/>
        </w:rPr>
        <w:t>1</w:t>
      </w:r>
      <w:r w:rsidRPr="00C01CF1">
        <w:rPr>
          <w:rFonts w:ascii="Times New Roman" w:eastAsia="標楷體" w:hAnsi="Times New Roman"/>
          <w:sz w:val="20"/>
          <w:szCs w:val="24"/>
        </w:rPr>
        <w:t>次研究發展會議核備</w:t>
      </w:r>
    </w:p>
    <w:p w:rsidR="004A77D7" w:rsidRPr="00C01CF1" w:rsidRDefault="004A77D7" w:rsidP="00BC44DB">
      <w:pPr>
        <w:spacing w:line="240" w:lineRule="exact"/>
        <w:jc w:val="right"/>
        <w:rPr>
          <w:rFonts w:ascii="Times New Roman" w:eastAsia="標楷體" w:hAnsi="Times New Roman"/>
          <w:sz w:val="20"/>
          <w:szCs w:val="24"/>
        </w:rPr>
      </w:pPr>
      <w:r w:rsidRPr="00C01CF1">
        <w:rPr>
          <w:rFonts w:ascii="Times New Roman" w:eastAsia="標楷體" w:hAnsi="Times New Roman"/>
          <w:sz w:val="20"/>
          <w:szCs w:val="24"/>
        </w:rPr>
        <w:t xml:space="preserve">104.6.2 </w:t>
      </w:r>
      <w:r w:rsidRPr="00C01CF1">
        <w:rPr>
          <w:rFonts w:ascii="Times New Roman" w:eastAsia="標楷體" w:hAnsi="Times New Roman"/>
          <w:sz w:val="20"/>
          <w:szCs w:val="24"/>
        </w:rPr>
        <w:t>本校務基金管理委員會第</w:t>
      </w:r>
      <w:r w:rsidRPr="00C01CF1">
        <w:rPr>
          <w:rFonts w:ascii="Times New Roman" w:eastAsia="標楷體" w:hAnsi="Times New Roman"/>
          <w:sz w:val="20"/>
          <w:szCs w:val="24"/>
        </w:rPr>
        <w:t>62</w:t>
      </w:r>
      <w:r w:rsidRPr="00C01CF1">
        <w:rPr>
          <w:rFonts w:ascii="Times New Roman" w:eastAsia="標楷體" w:hAnsi="Times New Roman"/>
          <w:sz w:val="20"/>
          <w:szCs w:val="24"/>
        </w:rPr>
        <w:t>次會議修訂通過</w:t>
      </w:r>
    </w:p>
    <w:p w:rsidR="004A77D7" w:rsidRPr="00C01CF1" w:rsidRDefault="004A77D7" w:rsidP="00BC44DB">
      <w:pPr>
        <w:spacing w:line="240" w:lineRule="exact"/>
        <w:jc w:val="right"/>
        <w:rPr>
          <w:rFonts w:ascii="Times New Roman" w:eastAsia="標楷體" w:hAnsi="Times New Roman"/>
          <w:sz w:val="20"/>
          <w:szCs w:val="24"/>
        </w:rPr>
      </w:pPr>
      <w:r w:rsidRPr="00C01CF1">
        <w:rPr>
          <w:rFonts w:ascii="Times New Roman" w:eastAsia="標楷體" w:hAnsi="Times New Roman"/>
          <w:sz w:val="20"/>
          <w:szCs w:val="24"/>
        </w:rPr>
        <w:t>109.05.22</w:t>
      </w:r>
      <w:r w:rsidRPr="00C01CF1">
        <w:rPr>
          <w:rFonts w:ascii="Times New Roman" w:eastAsia="標楷體" w:hAnsi="Times New Roman"/>
          <w:sz w:val="20"/>
          <w:szCs w:val="24"/>
        </w:rPr>
        <w:t>生物資源產品檢測中心第一次會議修訂通過</w:t>
      </w:r>
    </w:p>
    <w:p w:rsidR="004A77D7" w:rsidRPr="00C01CF1" w:rsidRDefault="001512C9" w:rsidP="00BC44DB">
      <w:pPr>
        <w:spacing w:line="240" w:lineRule="exact"/>
        <w:jc w:val="right"/>
        <w:rPr>
          <w:rFonts w:ascii="Times New Roman" w:eastAsia="標楷體" w:hAnsi="Times New Roman"/>
          <w:sz w:val="20"/>
          <w:szCs w:val="24"/>
        </w:rPr>
      </w:pPr>
      <w:r w:rsidRPr="00C01CF1">
        <w:rPr>
          <w:rFonts w:ascii="Times New Roman" w:eastAsia="標楷體" w:hAnsi="Times New Roman"/>
          <w:sz w:val="20"/>
          <w:szCs w:val="24"/>
        </w:rPr>
        <w:t>109.6.15</w:t>
      </w:r>
      <w:r w:rsidRPr="00C01CF1">
        <w:rPr>
          <w:rFonts w:ascii="Times New Roman" w:eastAsia="標楷體" w:hAnsi="Times New Roman"/>
          <w:sz w:val="20"/>
          <w:szCs w:val="24"/>
        </w:rPr>
        <w:t>生資學院</w:t>
      </w:r>
      <w:r w:rsidRPr="00C01CF1">
        <w:rPr>
          <w:rFonts w:ascii="Times New Roman" w:eastAsia="標楷體" w:hAnsi="Times New Roman"/>
          <w:sz w:val="20"/>
          <w:szCs w:val="24"/>
        </w:rPr>
        <w:t>108</w:t>
      </w:r>
      <w:r w:rsidRPr="00C01CF1">
        <w:rPr>
          <w:rFonts w:ascii="Times New Roman" w:eastAsia="標楷體" w:hAnsi="Times New Roman"/>
          <w:sz w:val="20"/>
          <w:szCs w:val="24"/>
        </w:rPr>
        <w:t>學年度第</w:t>
      </w:r>
      <w:r w:rsidRPr="00C01CF1">
        <w:rPr>
          <w:rFonts w:ascii="Times New Roman" w:eastAsia="標楷體" w:hAnsi="Times New Roman"/>
          <w:sz w:val="20"/>
          <w:szCs w:val="24"/>
        </w:rPr>
        <w:t>3</w:t>
      </w:r>
      <w:r w:rsidRPr="00C01CF1">
        <w:rPr>
          <w:rFonts w:ascii="Times New Roman" w:eastAsia="標楷體" w:hAnsi="Times New Roman"/>
          <w:sz w:val="20"/>
          <w:szCs w:val="24"/>
        </w:rPr>
        <w:t>次院務會議修訂通過</w:t>
      </w:r>
    </w:p>
    <w:p w:rsidR="001512C9" w:rsidRPr="00C01CF1" w:rsidRDefault="00BC44DB" w:rsidP="004A77D7">
      <w:pPr>
        <w:spacing w:line="0" w:lineRule="atLeast"/>
        <w:jc w:val="right"/>
        <w:rPr>
          <w:rFonts w:ascii="Times New Roman" w:eastAsia="標楷體" w:hAnsi="Times New Roman"/>
          <w:kern w:val="0"/>
          <w:sz w:val="20"/>
          <w:szCs w:val="24"/>
        </w:rPr>
      </w:pPr>
      <w:r w:rsidRPr="00C01CF1">
        <w:rPr>
          <w:rFonts w:ascii="Times New Roman" w:eastAsia="標楷體" w:hAnsi="Times New Roman"/>
          <w:kern w:val="0"/>
          <w:sz w:val="20"/>
          <w:szCs w:val="24"/>
        </w:rPr>
        <w:t>109</w:t>
      </w:r>
      <w:r w:rsidRPr="00C01CF1">
        <w:rPr>
          <w:rFonts w:ascii="Times New Roman" w:eastAsia="標楷體" w:hAnsi="Times New Roman" w:hint="eastAsia"/>
          <w:kern w:val="0"/>
          <w:sz w:val="20"/>
          <w:szCs w:val="24"/>
        </w:rPr>
        <w:t>.</w:t>
      </w:r>
      <w:r w:rsidRPr="00C01CF1">
        <w:rPr>
          <w:rFonts w:ascii="Times New Roman" w:eastAsia="標楷體" w:hAnsi="Times New Roman"/>
          <w:kern w:val="0"/>
          <w:sz w:val="20"/>
          <w:szCs w:val="24"/>
        </w:rPr>
        <w:t>7</w:t>
      </w:r>
      <w:r w:rsidRPr="00C01CF1">
        <w:rPr>
          <w:rFonts w:ascii="Times New Roman" w:eastAsia="標楷體" w:hAnsi="Times New Roman" w:hint="eastAsia"/>
          <w:kern w:val="0"/>
          <w:sz w:val="20"/>
          <w:szCs w:val="24"/>
        </w:rPr>
        <w:t>.</w:t>
      </w:r>
      <w:r w:rsidRPr="00C01CF1">
        <w:rPr>
          <w:rFonts w:ascii="Times New Roman" w:eastAsia="標楷體" w:hAnsi="Times New Roman"/>
          <w:kern w:val="0"/>
          <w:sz w:val="20"/>
          <w:szCs w:val="24"/>
        </w:rPr>
        <w:t>1</w:t>
      </w:r>
      <w:r w:rsidRPr="00C01CF1">
        <w:rPr>
          <w:rFonts w:ascii="Times New Roman" w:eastAsia="標楷體" w:hAnsi="Times New Roman" w:hint="eastAsia"/>
          <w:kern w:val="0"/>
          <w:sz w:val="20"/>
          <w:szCs w:val="24"/>
        </w:rPr>
        <w:t xml:space="preserve"> </w:t>
      </w:r>
      <w:r w:rsidRPr="00C01CF1">
        <w:rPr>
          <w:rFonts w:ascii="Times New Roman" w:eastAsia="標楷體" w:hAnsi="Times New Roman"/>
          <w:kern w:val="0"/>
          <w:sz w:val="20"/>
          <w:szCs w:val="24"/>
        </w:rPr>
        <w:t>108</w:t>
      </w:r>
      <w:r w:rsidRPr="00C01CF1">
        <w:rPr>
          <w:rFonts w:ascii="Times New Roman" w:eastAsia="標楷體" w:hAnsi="Times New Roman"/>
          <w:kern w:val="0"/>
          <w:sz w:val="20"/>
          <w:szCs w:val="24"/>
        </w:rPr>
        <w:t>學年度第</w:t>
      </w:r>
      <w:r w:rsidRPr="00C01CF1">
        <w:rPr>
          <w:rFonts w:ascii="Times New Roman" w:eastAsia="標楷體" w:hAnsi="Times New Roman"/>
          <w:kern w:val="0"/>
          <w:sz w:val="20"/>
          <w:szCs w:val="24"/>
        </w:rPr>
        <w:t>2</w:t>
      </w:r>
      <w:r w:rsidRPr="00C01CF1">
        <w:rPr>
          <w:rFonts w:ascii="Times New Roman" w:eastAsia="標楷體" w:hAnsi="Times New Roman"/>
          <w:kern w:val="0"/>
          <w:sz w:val="20"/>
          <w:szCs w:val="24"/>
        </w:rPr>
        <w:t>學期第</w:t>
      </w:r>
      <w:r w:rsidR="004B358A" w:rsidRPr="00C01CF1">
        <w:rPr>
          <w:rFonts w:ascii="Times New Roman" w:eastAsia="標楷體" w:hAnsi="Times New Roman" w:hint="eastAsia"/>
          <w:kern w:val="0"/>
          <w:sz w:val="20"/>
          <w:szCs w:val="24"/>
        </w:rPr>
        <w:t>2</w:t>
      </w:r>
      <w:r w:rsidRPr="00C01CF1">
        <w:rPr>
          <w:rFonts w:ascii="Times New Roman" w:eastAsia="標楷體" w:hAnsi="Times New Roman"/>
          <w:kern w:val="0"/>
          <w:sz w:val="20"/>
          <w:szCs w:val="24"/>
        </w:rPr>
        <w:t>次研究發展會議</w:t>
      </w:r>
      <w:r w:rsidR="00E329C9" w:rsidRPr="00C01CF1">
        <w:rPr>
          <w:rFonts w:ascii="Times New Roman" w:eastAsia="標楷體" w:hAnsi="Times New Roman"/>
          <w:sz w:val="20"/>
          <w:szCs w:val="24"/>
        </w:rPr>
        <w:t>修訂</w:t>
      </w:r>
      <w:r w:rsidRPr="00C01CF1">
        <w:rPr>
          <w:rFonts w:ascii="Times New Roman" w:eastAsia="標楷體" w:hAnsi="Times New Roman"/>
          <w:kern w:val="0"/>
          <w:sz w:val="20"/>
          <w:szCs w:val="24"/>
        </w:rPr>
        <w:t>通過</w:t>
      </w:r>
    </w:p>
    <w:p w:rsidR="00E35BBB" w:rsidRPr="00C01CF1" w:rsidRDefault="00E35BBB" w:rsidP="00E35BBB">
      <w:pPr>
        <w:spacing w:line="240" w:lineRule="exact"/>
        <w:ind w:left="400" w:hangingChars="200" w:hanging="400"/>
        <w:jc w:val="right"/>
        <w:rPr>
          <w:rFonts w:ascii="Times New Roman" w:eastAsia="標楷體" w:hAnsi="Times New Roman"/>
          <w:kern w:val="0"/>
          <w:sz w:val="20"/>
          <w:szCs w:val="24"/>
        </w:rPr>
      </w:pPr>
      <w:r w:rsidRPr="00C01CF1">
        <w:rPr>
          <w:rFonts w:ascii="Times New Roman" w:eastAsia="標楷體" w:hAnsi="Times New Roman" w:hint="eastAsia"/>
          <w:kern w:val="0"/>
          <w:sz w:val="20"/>
          <w:szCs w:val="24"/>
        </w:rPr>
        <w:t>109</w:t>
      </w:r>
      <w:r w:rsidRPr="00C01CF1">
        <w:rPr>
          <w:rFonts w:ascii="Times New Roman" w:eastAsia="標楷體" w:hAnsi="Times New Roman" w:hint="eastAsia"/>
          <w:kern w:val="0"/>
          <w:sz w:val="20"/>
          <w:szCs w:val="24"/>
        </w:rPr>
        <w:t>年</w:t>
      </w:r>
      <w:r w:rsidR="0071322C" w:rsidRPr="00C01CF1">
        <w:rPr>
          <w:rFonts w:ascii="標楷體" w:eastAsia="標楷體" w:hAnsi="標楷體" w:hint="eastAsia"/>
          <w:kern w:val="0"/>
          <w:sz w:val="20"/>
          <w:szCs w:val="24"/>
        </w:rPr>
        <w:t>8</w:t>
      </w:r>
      <w:r w:rsidRPr="00C01CF1">
        <w:rPr>
          <w:rFonts w:ascii="Times New Roman" w:eastAsia="標楷體" w:hAnsi="Times New Roman" w:hint="eastAsia"/>
          <w:kern w:val="0"/>
          <w:sz w:val="20"/>
          <w:szCs w:val="24"/>
        </w:rPr>
        <w:t>月</w:t>
      </w:r>
      <w:r w:rsidR="0071322C" w:rsidRPr="00C01CF1">
        <w:rPr>
          <w:rFonts w:ascii="標楷體" w:eastAsia="標楷體" w:hAnsi="標楷體" w:hint="eastAsia"/>
          <w:kern w:val="0"/>
          <w:sz w:val="20"/>
          <w:szCs w:val="24"/>
        </w:rPr>
        <w:t>4</w:t>
      </w:r>
      <w:r w:rsidRPr="00C01CF1">
        <w:rPr>
          <w:rFonts w:ascii="Times New Roman" w:eastAsia="標楷體" w:hAnsi="Times New Roman" w:hint="eastAsia"/>
          <w:kern w:val="0"/>
          <w:sz w:val="20"/>
          <w:szCs w:val="24"/>
        </w:rPr>
        <w:t>日</w:t>
      </w:r>
      <w:r w:rsidRPr="00C01CF1">
        <w:rPr>
          <w:rFonts w:ascii="Times New Roman" w:eastAsia="標楷體" w:hAnsi="Times New Roman" w:hint="eastAsia"/>
          <w:kern w:val="0"/>
          <w:sz w:val="20"/>
          <w:szCs w:val="24"/>
        </w:rPr>
        <w:t>10</w:t>
      </w:r>
      <w:r w:rsidR="0071322C" w:rsidRPr="00C01CF1">
        <w:rPr>
          <w:rFonts w:ascii="Times New Roman" w:eastAsia="標楷體" w:hAnsi="Times New Roman" w:hint="eastAsia"/>
          <w:kern w:val="0"/>
          <w:sz w:val="20"/>
          <w:szCs w:val="24"/>
        </w:rPr>
        <w:t>9</w:t>
      </w:r>
      <w:r w:rsidRPr="00C01CF1">
        <w:rPr>
          <w:rFonts w:ascii="Times New Roman" w:eastAsia="標楷體" w:hAnsi="Times New Roman" w:hint="eastAsia"/>
          <w:kern w:val="0"/>
          <w:sz w:val="20"/>
          <w:szCs w:val="24"/>
        </w:rPr>
        <w:t>學年度第</w:t>
      </w:r>
      <w:r w:rsidR="00611CFA" w:rsidRPr="00C01CF1">
        <w:rPr>
          <w:rFonts w:ascii="標楷體" w:eastAsia="標楷體" w:hAnsi="標楷體" w:hint="eastAsia"/>
          <w:kern w:val="0"/>
          <w:sz w:val="20"/>
          <w:szCs w:val="24"/>
        </w:rPr>
        <w:t>1</w:t>
      </w:r>
      <w:r w:rsidRPr="00C01CF1">
        <w:rPr>
          <w:rFonts w:ascii="Times New Roman" w:eastAsia="標楷體" w:hAnsi="Times New Roman" w:hint="eastAsia"/>
          <w:kern w:val="0"/>
          <w:sz w:val="20"/>
          <w:szCs w:val="24"/>
        </w:rPr>
        <w:t>次行政會議修正通過</w:t>
      </w:r>
    </w:p>
    <w:p w:rsidR="005428E7" w:rsidRPr="00C01CF1" w:rsidRDefault="005428E7" w:rsidP="005428E7">
      <w:pPr>
        <w:spacing w:line="240" w:lineRule="exact"/>
        <w:jc w:val="right"/>
        <w:rPr>
          <w:rFonts w:ascii="標楷體" w:eastAsia="標楷體" w:hAnsi="標楷體"/>
          <w:bCs/>
          <w:color w:val="000000" w:themeColor="text1"/>
          <w:kern w:val="0"/>
          <w:sz w:val="20"/>
          <w:szCs w:val="20"/>
        </w:rPr>
      </w:pPr>
      <w:r w:rsidRPr="00C01CF1">
        <w:rPr>
          <w:rFonts w:ascii="標楷體" w:eastAsia="標楷體" w:hAnsi="標楷體" w:hint="eastAsia"/>
          <w:bCs/>
          <w:color w:val="000000" w:themeColor="text1"/>
          <w:kern w:val="0"/>
          <w:sz w:val="20"/>
          <w:szCs w:val="20"/>
        </w:rPr>
        <w:t>109年10月13日校務基金管理委員會第89次會議修正通過</w:t>
      </w:r>
    </w:p>
    <w:p w:rsidR="00E35BBB" w:rsidRPr="00C01CF1" w:rsidRDefault="00E35BBB" w:rsidP="004A77D7">
      <w:pPr>
        <w:spacing w:line="0" w:lineRule="atLeast"/>
        <w:jc w:val="right"/>
        <w:rPr>
          <w:rFonts w:ascii="Times New Roman" w:eastAsia="標楷體" w:hAnsi="Times New Roman"/>
          <w:kern w:val="0"/>
          <w:sz w:val="20"/>
          <w:szCs w:val="24"/>
        </w:rPr>
      </w:pPr>
    </w:p>
    <w:p w:rsidR="00BC44DB" w:rsidRPr="00C01CF1" w:rsidRDefault="00BC44DB" w:rsidP="004A77D7">
      <w:pPr>
        <w:spacing w:line="0" w:lineRule="atLeast"/>
        <w:jc w:val="right"/>
        <w:rPr>
          <w:rFonts w:ascii="標楷體" w:eastAsia="標楷體" w:hAnsi="標楷體"/>
          <w:sz w:val="20"/>
          <w:szCs w:val="24"/>
        </w:rPr>
      </w:pPr>
    </w:p>
    <w:p w:rsidR="004A77D7" w:rsidRPr="00C01CF1" w:rsidRDefault="00F86A7F" w:rsidP="00F86A7F">
      <w:pPr>
        <w:ind w:leftChars="-120" w:left="180" w:hangingChars="195" w:hanging="468"/>
        <w:jc w:val="both"/>
        <w:rPr>
          <w:rFonts w:ascii="Times New Roman" w:eastAsia="標楷體" w:hAnsi="Times New Roman"/>
          <w:szCs w:val="24"/>
        </w:rPr>
      </w:pPr>
      <w:r w:rsidRPr="00C01CF1">
        <w:rPr>
          <w:rFonts w:ascii="Times New Roman" w:eastAsia="標楷體" w:hAnsi="Times New Roman" w:hint="eastAsia"/>
          <w:szCs w:val="24"/>
        </w:rPr>
        <w:t>一、</w:t>
      </w:r>
      <w:r w:rsidR="004A77D7" w:rsidRPr="00C01CF1">
        <w:rPr>
          <w:rFonts w:ascii="Times New Roman" w:eastAsia="標楷體" w:hAnsi="Times New Roman"/>
          <w:szCs w:val="24"/>
        </w:rPr>
        <w:t>國立宜蘭大學生物資源學院</w:t>
      </w:r>
      <w:r w:rsidR="00BC44DB" w:rsidRPr="00C01CF1">
        <w:rPr>
          <w:rFonts w:ascii="Times New Roman" w:eastAsia="標楷體" w:hAnsi="Times New Roman"/>
          <w:szCs w:val="24"/>
        </w:rPr>
        <w:t>（</w:t>
      </w:r>
      <w:r w:rsidR="008E5E7A" w:rsidRPr="00C01CF1">
        <w:rPr>
          <w:rFonts w:ascii="Times New Roman" w:eastAsia="標楷體" w:hAnsi="Times New Roman"/>
          <w:szCs w:val="24"/>
        </w:rPr>
        <w:t>以下簡稱本院</w:t>
      </w:r>
      <w:r w:rsidR="00BC44DB" w:rsidRPr="00C01CF1">
        <w:rPr>
          <w:rFonts w:ascii="Times New Roman" w:eastAsia="標楷體" w:hAnsi="Times New Roman"/>
          <w:szCs w:val="24"/>
        </w:rPr>
        <w:t>）</w:t>
      </w:r>
      <w:r w:rsidR="004A77D7" w:rsidRPr="00C01CF1">
        <w:rPr>
          <w:rFonts w:ascii="Times New Roman" w:eastAsia="標楷體" w:hAnsi="Times New Roman"/>
          <w:szCs w:val="24"/>
        </w:rPr>
        <w:t>為促進生物資源產業發展，提升產品研發能量，確保製程品管安全，強化本校與產官學界之技術交流與服務，特整合生物資</w:t>
      </w:r>
      <w:bookmarkStart w:id="0" w:name="_GoBack"/>
      <w:bookmarkEnd w:id="0"/>
      <w:r w:rsidR="004A77D7" w:rsidRPr="00C01CF1">
        <w:rPr>
          <w:rFonts w:ascii="Times New Roman" w:eastAsia="標楷體" w:hAnsi="Times New Roman"/>
          <w:szCs w:val="24"/>
        </w:rPr>
        <w:t>源產業相關領域，依據</w:t>
      </w:r>
      <w:r w:rsidR="000C03E6" w:rsidRPr="00C01CF1">
        <w:rPr>
          <w:rFonts w:ascii="Times New Roman" w:eastAsia="標楷體" w:hAnsi="Times New Roman"/>
          <w:szCs w:val="24"/>
        </w:rPr>
        <w:t>「</w:t>
      </w:r>
      <w:r w:rsidR="004A77D7" w:rsidRPr="00C01CF1">
        <w:rPr>
          <w:rFonts w:ascii="Times New Roman" w:eastAsia="標楷體" w:hAnsi="Times New Roman"/>
          <w:szCs w:val="24"/>
        </w:rPr>
        <w:t>國立宜蘭大學研究中心設置辦法</w:t>
      </w:r>
      <w:r w:rsidR="000C03E6" w:rsidRPr="00C01CF1">
        <w:rPr>
          <w:rFonts w:ascii="Times New Roman" w:eastAsia="標楷體" w:hAnsi="Times New Roman"/>
          <w:szCs w:val="24"/>
        </w:rPr>
        <w:t>」</w:t>
      </w:r>
      <w:r w:rsidR="004A77D7" w:rsidRPr="00C01CF1">
        <w:rPr>
          <w:rFonts w:ascii="Times New Roman" w:eastAsia="標楷體" w:hAnsi="Times New Roman"/>
          <w:szCs w:val="24"/>
        </w:rPr>
        <w:t>第二條及第三條第一項，於</w:t>
      </w:r>
      <w:r w:rsidR="00A05BF5" w:rsidRPr="00C01CF1">
        <w:rPr>
          <w:rFonts w:ascii="Times New Roman" w:eastAsia="標楷體" w:hAnsi="Times New Roman"/>
          <w:szCs w:val="24"/>
        </w:rPr>
        <w:t>本院</w:t>
      </w:r>
      <w:r w:rsidR="004A77D7" w:rsidRPr="00C01CF1">
        <w:rPr>
          <w:rFonts w:ascii="Times New Roman" w:eastAsia="標楷體" w:hAnsi="Times New Roman"/>
          <w:szCs w:val="24"/>
        </w:rPr>
        <w:t>設立「生物資源產品檢測暨技術推廣中心」</w:t>
      </w:r>
      <w:r w:rsidR="00BC44DB" w:rsidRPr="00C01CF1">
        <w:rPr>
          <w:rFonts w:ascii="Times New Roman" w:eastAsia="標楷體" w:hAnsi="Times New Roman"/>
          <w:szCs w:val="24"/>
        </w:rPr>
        <w:t>（</w:t>
      </w:r>
      <w:r w:rsidR="004A77D7" w:rsidRPr="00C01CF1">
        <w:rPr>
          <w:rFonts w:ascii="Times New Roman" w:eastAsia="標楷體" w:hAnsi="Times New Roman"/>
          <w:szCs w:val="24"/>
        </w:rPr>
        <w:t>以下簡稱本中心</w:t>
      </w:r>
      <w:r w:rsidR="00BC44DB" w:rsidRPr="00C01CF1">
        <w:rPr>
          <w:rFonts w:ascii="Times New Roman" w:eastAsia="標楷體" w:hAnsi="Times New Roman"/>
          <w:szCs w:val="24"/>
        </w:rPr>
        <w:t>）</w:t>
      </w:r>
      <w:r w:rsidR="00B6028C" w:rsidRPr="00C01CF1">
        <w:rPr>
          <w:rFonts w:ascii="Times New Roman" w:eastAsia="標楷體" w:hAnsi="Times New Roman"/>
          <w:szCs w:val="24"/>
        </w:rPr>
        <w:t>，</w:t>
      </w:r>
      <w:r w:rsidR="00B6028C" w:rsidRPr="00C01CF1">
        <w:rPr>
          <w:rFonts w:ascii="Times New Roman" w:eastAsia="標楷體" w:hAnsi="Times New Roman"/>
        </w:rPr>
        <w:t>並訂定「國立宜蘭大學生物資源學院生物資源產品檢測暨技術推廣中心設置</w:t>
      </w:r>
      <w:r w:rsidRPr="00C01CF1">
        <w:rPr>
          <w:rFonts w:ascii="Times New Roman" w:eastAsia="標楷體" w:hAnsi="Times New Roman" w:hint="eastAsia"/>
        </w:rPr>
        <w:t>要點</w:t>
      </w:r>
      <w:r w:rsidR="00B6028C" w:rsidRPr="00C01CF1">
        <w:rPr>
          <w:rFonts w:ascii="Times New Roman" w:eastAsia="標楷體" w:hAnsi="Times New Roman"/>
        </w:rPr>
        <w:t>」（以下簡稱本</w:t>
      </w:r>
      <w:r w:rsidR="00317D4A" w:rsidRPr="00C01CF1">
        <w:rPr>
          <w:rFonts w:ascii="Times New Roman" w:eastAsia="標楷體" w:hAnsi="Times New Roman" w:hint="eastAsia"/>
        </w:rPr>
        <w:t>要點</w:t>
      </w:r>
      <w:r w:rsidR="00B6028C" w:rsidRPr="00C01CF1">
        <w:rPr>
          <w:rFonts w:ascii="Times New Roman" w:eastAsia="標楷體" w:hAnsi="Times New Roman"/>
        </w:rPr>
        <w:t>）</w:t>
      </w:r>
      <w:r w:rsidR="004A77D7" w:rsidRPr="00C01CF1">
        <w:rPr>
          <w:rFonts w:ascii="Times New Roman" w:eastAsia="標楷體" w:hAnsi="Times New Roman"/>
          <w:szCs w:val="24"/>
        </w:rPr>
        <w:t>。</w:t>
      </w:r>
    </w:p>
    <w:p w:rsidR="004A77D7" w:rsidRPr="00C01CF1" w:rsidRDefault="00F86A7F" w:rsidP="00F86A7F">
      <w:pPr>
        <w:ind w:leftChars="-118" w:left="917" w:hangingChars="500" w:hanging="1200"/>
        <w:jc w:val="both"/>
        <w:rPr>
          <w:rFonts w:ascii="Times New Roman" w:eastAsia="標楷體" w:hAnsi="Times New Roman"/>
          <w:szCs w:val="24"/>
        </w:rPr>
      </w:pPr>
      <w:r w:rsidRPr="00C01CF1">
        <w:rPr>
          <w:rFonts w:ascii="Times New Roman" w:eastAsia="標楷體" w:hAnsi="Times New Roman" w:hint="eastAsia"/>
          <w:szCs w:val="24"/>
        </w:rPr>
        <w:t>二、</w:t>
      </w:r>
      <w:r w:rsidR="004A77D7" w:rsidRPr="00C01CF1">
        <w:rPr>
          <w:rFonts w:ascii="Times New Roman" w:eastAsia="標楷體" w:hAnsi="Times New Roman"/>
          <w:szCs w:val="24"/>
        </w:rPr>
        <w:t>本中心之任務如下</w:t>
      </w:r>
    </w:p>
    <w:p w:rsidR="004A77D7" w:rsidRPr="00C01CF1" w:rsidRDefault="004A77D7" w:rsidP="00317D4A">
      <w:pPr>
        <w:pStyle w:val="a4"/>
        <w:numPr>
          <w:ilvl w:val="0"/>
          <w:numId w:val="2"/>
        </w:numPr>
        <w:ind w:leftChars="89" w:left="708" w:hangingChars="206" w:hanging="494"/>
        <w:jc w:val="both"/>
        <w:rPr>
          <w:rFonts w:ascii="Times New Roman" w:eastAsia="標楷體" w:hAnsi="Times New Roman"/>
          <w:szCs w:val="24"/>
        </w:rPr>
      </w:pPr>
      <w:r w:rsidRPr="00C01CF1">
        <w:rPr>
          <w:rFonts w:ascii="Times New Roman" w:eastAsia="標楷體" w:hAnsi="Times New Roman"/>
          <w:szCs w:val="24"/>
        </w:rPr>
        <w:t>整合本院相關領域資源，推動生物資源產業檢驗分析技術服務。</w:t>
      </w:r>
    </w:p>
    <w:p w:rsidR="004A77D7" w:rsidRPr="00C01CF1" w:rsidRDefault="004A77D7" w:rsidP="00317D4A">
      <w:pPr>
        <w:pStyle w:val="a4"/>
        <w:numPr>
          <w:ilvl w:val="0"/>
          <w:numId w:val="2"/>
        </w:numPr>
        <w:ind w:leftChars="89" w:left="708" w:hangingChars="206" w:hanging="494"/>
        <w:jc w:val="both"/>
        <w:rPr>
          <w:rFonts w:ascii="Times New Roman" w:eastAsia="標楷體" w:hAnsi="Times New Roman"/>
          <w:szCs w:val="24"/>
        </w:rPr>
      </w:pPr>
      <w:r w:rsidRPr="00C01CF1">
        <w:rPr>
          <w:rFonts w:ascii="Times New Roman" w:eastAsia="標楷體" w:hAnsi="Times New Roman"/>
          <w:szCs w:val="24"/>
        </w:rPr>
        <w:t>推廣產業品質相關制度，提供產業輔導及技術服務。</w:t>
      </w:r>
    </w:p>
    <w:p w:rsidR="004A77D7" w:rsidRPr="00C01CF1" w:rsidRDefault="004A77D7" w:rsidP="00317D4A">
      <w:pPr>
        <w:pStyle w:val="a4"/>
        <w:numPr>
          <w:ilvl w:val="0"/>
          <w:numId w:val="2"/>
        </w:numPr>
        <w:ind w:leftChars="89" w:left="708" w:hangingChars="206" w:hanging="494"/>
        <w:jc w:val="both"/>
        <w:rPr>
          <w:rFonts w:ascii="Times New Roman" w:eastAsia="標楷體" w:hAnsi="Times New Roman"/>
          <w:szCs w:val="24"/>
        </w:rPr>
      </w:pPr>
      <w:r w:rsidRPr="00C01CF1">
        <w:rPr>
          <w:rFonts w:ascii="Times New Roman" w:eastAsia="標楷體" w:hAnsi="Times New Roman"/>
          <w:szCs w:val="24"/>
        </w:rPr>
        <w:t>支援相關教學與研究事宜。</w:t>
      </w:r>
    </w:p>
    <w:p w:rsidR="004A77D7" w:rsidRPr="00C01CF1" w:rsidRDefault="004A77D7" w:rsidP="00317D4A">
      <w:pPr>
        <w:pStyle w:val="a4"/>
        <w:numPr>
          <w:ilvl w:val="0"/>
          <w:numId w:val="2"/>
        </w:numPr>
        <w:ind w:leftChars="89" w:left="708" w:hangingChars="206" w:hanging="494"/>
        <w:jc w:val="both"/>
        <w:rPr>
          <w:rFonts w:ascii="Times New Roman" w:eastAsia="標楷體" w:hAnsi="Times New Roman"/>
          <w:szCs w:val="24"/>
        </w:rPr>
      </w:pPr>
      <w:r w:rsidRPr="00C01CF1">
        <w:rPr>
          <w:rFonts w:ascii="Times New Roman" w:eastAsia="標楷體" w:hAnsi="Times New Roman"/>
          <w:szCs w:val="24"/>
        </w:rPr>
        <w:t>推展產官學界的溝通與技術合作平台。</w:t>
      </w:r>
    </w:p>
    <w:p w:rsidR="004A77D7" w:rsidRPr="00C01CF1" w:rsidRDefault="004A77D7" w:rsidP="00317D4A">
      <w:pPr>
        <w:pStyle w:val="a4"/>
        <w:numPr>
          <w:ilvl w:val="0"/>
          <w:numId w:val="2"/>
        </w:numPr>
        <w:ind w:leftChars="89" w:left="708" w:hangingChars="206" w:hanging="494"/>
        <w:jc w:val="both"/>
        <w:rPr>
          <w:rFonts w:ascii="Times New Roman" w:eastAsia="標楷體" w:hAnsi="Times New Roman"/>
          <w:szCs w:val="24"/>
        </w:rPr>
      </w:pPr>
      <w:r w:rsidRPr="00C01CF1">
        <w:rPr>
          <w:rFonts w:ascii="Times New Roman" w:eastAsia="標楷體" w:hAnsi="Times New Roman"/>
          <w:szCs w:val="24"/>
        </w:rPr>
        <w:t>辦理其他相關事宜。</w:t>
      </w:r>
    </w:p>
    <w:p w:rsidR="004A77D7" w:rsidRPr="00C01CF1" w:rsidRDefault="00F86A7F" w:rsidP="00F86A7F">
      <w:pPr>
        <w:ind w:leftChars="-118" w:left="180" w:hangingChars="193" w:hanging="463"/>
        <w:jc w:val="both"/>
        <w:rPr>
          <w:rFonts w:ascii="Times New Roman" w:eastAsia="標楷體" w:hAnsi="Times New Roman"/>
          <w:szCs w:val="24"/>
        </w:rPr>
      </w:pPr>
      <w:r w:rsidRPr="00C01CF1">
        <w:rPr>
          <w:rFonts w:ascii="Times New Roman" w:eastAsia="標楷體" w:hAnsi="Times New Roman" w:hint="eastAsia"/>
          <w:szCs w:val="24"/>
        </w:rPr>
        <w:t>三、</w:t>
      </w:r>
      <w:r w:rsidR="004A77D7" w:rsidRPr="00C01CF1">
        <w:rPr>
          <w:rFonts w:ascii="Times New Roman" w:eastAsia="標楷體" w:hAnsi="Times New Roman"/>
          <w:szCs w:val="24"/>
        </w:rPr>
        <w:t>本中心設置中心主任</w:t>
      </w:r>
      <w:r w:rsidR="00E35BBB" w:rsidRPr="00C01CF1">
        <w:rPr>
          <w:rFonts w:ascii="Times New Roman" w:eastAsia="標楷體" w:hAnsi="Times New Roman"/>
        </w:rPr>
        <w:t>1</w:t>
      </w:r>
      <w:r w:rsidR="004A77D7" w:rsidRPr="00C01CF1">
        <w:rPr>
          <w:rFonts w:ascii="Times New Roman" w:eastAsia="標楷體" w:hAnsi="Times New Roman"/>
          <w:szCs w:val="24"/>
        </w:rPr>
        <w:t>人，採無給職，綜理中心業務，由院長就本院專任助理教授以上具服務熱忱之教師中遴薦，報請校長聘任之。任期</w:t>
      </w:r>
      <w:r w:rsidR="00E35BBB" w:rsidRPr="00C01CF1">
        <w:rPr>
          <w:rFonts w:ascii="Times New Roman" w:eastAsia="標楷體" w:hAnsi="Times New Roman"/>
        </w:rPr>
        <w:t>3</w:t>
      </w:r>
      <w:r w:rsidR="004A77D7" w:rsidRPr="00C01CF1">
        <w:rPr>
          <w:rFonts w:ascii="Times New Roman" w:eastAsia="標楷體" w:hAnsi="Times New Roman"/>
          <w:szCs w:val="24"/>
        </w:rPr>
        <w:t>年，得連任</w:t>
      </w:r>
      <w:r w:rsidR="00E35BBB" w:rsidRPr="00C01CF1">
        <w:rPr>
          <w:rFonts w:ascii="Times New Roman" w:eastAsia="標楷體" w:hAnsi="Times New Roman"/>
        </w:rPr>
        <w:t>1</w:t>
      </w:r>
      <w:r w:rsidR="004A77D7" w:rsidRPr="00C01CF1">
        <w:rPr>
          <w:rFonts w:ascii="Times New Roman" w:eastAsia="標楷體" w:hAnsi="Times New Roman"/>
          <w:szCs w:val="24"/>
        </w:rPr>
        <w:t>次。</w:t>
      </w:r>
    </w:p>
    <w:p w:rsidR="004A77D7" w:rsidRPr="00C01CF1" w:rsidRDefault="00F86A7F" w:rsidP="00F86A7F">
      <w:pPr>
        <w:ind w:leftChars="-118" w:left="180" w:hangingChars="193" w:hanging="463"/>
        <w:jc w:val="both"/>
        <w:rPr>
          <w:rFonts w:ascii="Times New Roman" w:eastAsia="標楷體" w:hAnsi="Times New Roman"/>
          <w:szCs w:val="24"/>
        </w:rPr>
      </w:pPr>
      <w:r w:rsidRPr="00C01CF1">
        <w:rPr>
          <w:rFonts w:ascii="Times New Roman" w:eastAsia="標楷體" w:hAnsi="Times New Roman" w:hint="eastAsia"/>
          <w:szCs w:val="24"/>
        </w:rPr>
        <w:t>四、</w:t>
      </w:r>
      <w:r w:rsidR="004A77D7" w:rsidRPr="00C01CF1">
        <w:rPr>
          <w:rFonts w:ascii="Times New Roman" w:eastAsia="標楷體" w:hAnsi="Times New Roman"/>
          <w:szCs w:val="24"/>
        </w:rPr>
        <w:t>中心主任負責召開中心業務會議，討論並執行中心業務。</w:t>
      </w:r>
    </w:p>
    <w:p w:rsidR="004A77D7" w:rsidRPr="00C01CF1" w:rsidRDefault="00F86A7F" w:rsidP="00F86A7F">
      <w:pPr>
        <w:ind w:leftChars="-118" w:left="917" w:hangingChars="500" w:hanging="1200"/>
        <w:jc w:val="both"/>
        <w:rPr>
          <w:rFonts w:ascii="Times New Roman" w:eastAsia="標楷體" w:hAnsi="Times New Roman"/>
          <w:szCs w:val="24"/>
        </w:rPr>
      </w:pPr>
      <w:r w:rsidRPr="00C01CF1">
        <w:rPr>
          <w:rFonts w:ascii="Times New Roman" w:eastAsia="標楷體" w:hAnsi="Times New Roman" w:hint="eastAsia"/>
          <w:szCs w:val="24"/>
        </w:rPr>
        <w:t>五、</w:t>
      </w:r>
      <w:r w:rsidR="004A77D7" w:rsidRPr="00C01CF1">
        <w:rPr>
          <w:rFonts w:ascii="Times New Roman" w:eastAsia="標楷體" w:hAnsi="Times New Roman"/>
          <w:szCs w:val="24"/>
        </w:rPr>
        <w:t>本中心主任得依「國立宜蘭大學教師授課時數及超支鐘點費核計辦法」核減授課時數。</w:t>
      </w:r>
    </w:p>
    <w:p w:rsidR="004A77D7" w:rsidRPr="00C01CF1" w:rsidRDefault="00F86A7F" w:rsidP="00F86A7F">
      <w:pPr>
        <w:ind w:leftChars="-118" w:left="917" w:hangingChars="500" w:hanging="1200"/>
        <w:jc w:val="both"/>
        <w:rPr>
          <w:rFonts w:ascii="Times New Roman" w:eastAsia="標楷體" w:hAnsi="Times New Roman"/>
          <w:szCs w:val="24"/>
        </w:rPr>
      </w:pPr>
      <w:r w:rsidRPr="00C01CF1">
        <w:rPr>
          <w:rFonts w:ascii="Times New Roman" w:eastAsia="標楷體" w:hAnsi="Times New Roman" w:hint="eastAsia"/>
          <w:szCs w:val="24"/>
        </w:rPr>
        <w:t>六、</w:t>
      </w:r>
      <w:r w:rsidR="004A77D7" w:rsidRPr="00C01CF1">
        <w:rPr>
          <w:rFonts w:ascii="Times New Roman" w:eastAsia="標楷體" w:hAnsi="Times New Roman"/>
          <w:szCs w:val="24"/>
        </w:rPr>
        <w:t>本中心得依業務需求設立任務分組。</w:t>
      </w:r>
    </w:p>
    <w:p w:rsidR="004A77D7" w:rsidRPr="00C01CF1" w:rsidRDefault="00F86A7F" w:rsidP="00F86A7F">
      <w:pPr>
        <w:ind w:leftChars="-117" w:left="919" w:hangingChars="500" w:hanging="1200"/>
        <w:jc w:val="both"/>
        <w:rPr>
          <w:rFonts w:ascii="Times New Roman" w:eastAsia="標楷體" w:hAnsi="Times New Roman"/>
          <w:szCs w:val="24"/>
        </w:rPr>
      </w:pPr>
      <w:r w:rsidRPr="00C01CF1">
        <w:rPr>
          <w:rFonts w:ascii="Times New Roman" w:eastAsia="標楷體" w:hAnsi="Times New Roman" w:hint="eastAsia"/>
          <w:szCs w:val="24"/>
        </w:rPr>
        <w:t>七、</w:t>
      </w:r>
      <w:r w:rsidR="004A77D7" w:rsidRPr="00C01CF1">
        <w:rPr>
          <w:rFonts w:ascii="Times New Roman" w:eastAsia="標楷體" w:hAnsi="Times New Roman"/>
          <w:szCs w:val="24"/>
        </w:rPr>
        <w:t>本中心因業務需求得由各系所相關人員兼辦技術、行政及其他業務工作。</w:t>
      </w:r>
    </w:p>
    <w:p w:rsidR="004A77D7" w:rsidRPr="00C01CF1" w:rsidRDefault="00F86A7F" w:rsidP="00F86A7F">
      <w:pPr>
        <w:ind w:leftChars="-118" w:left="180" w:hangingChars="193" w:hanging="463"/>
        <w:jc w:val="both"/>
        <w:rPr>
          <w:rFonts w:ascii="Times New Roman" w:eastAsia="標楷體" w:hAnsi="Times New Roman"/>
          <w:szCs w:val="24"/>
        </w:rPr>
      </w:pPr>
      <w:r w:rsidRPr="00C01CF1">
        <w:rPr>
          <w:rFonts w:ascii="Times New Roman" w:eastAsia="標楷體" w:hAnsi="Times New Roman" w:hint="eastAsia"/>
          <w:szCs w:val="24"/>
        </w:rPr>
        <w:t>八、</w:t>
      </w:r>
      <w:r w:rsidR="004A77D7" w:rsidRPr="00C01CF1">
        <w:rPr>
          <w:rFonts w:ascii="Times New Roman" w:eastAsia="標楷體" w:hAnsi="Times New Roman"/>
          <w:szCs w:val="24"/>
        </w:rPr>
        <w:t>本中心經費採自給自足原則，得聘專任或兼任人員以及顧問等若干人，經費之使用依本校相關規定辦理。</w:t>
      </w:r>
    </w:p>
    <w:p w:rsidR="004A77D7" w:rsidRPr="00C01CF1" w:rsidRDefault="00F86A7F" w:rsidP="00F86A7F">
      <w:pPr>
        <w:ind w:leftChars="-118" w:left="180" w:hangingChars="193" w:hanging="463"/>
        <w:jc w:val="both"/>
        <w:rPr>
          <w:rFonts w:ascii="Times New Roman" w:eastAsia="標楷體" w:hAnsi="Times New Roman"/>
          <w:szCs w:val="24"/>
        </w:rPr>
      </w:pPr>
      <w:r w:rsidRPr="00C01CF1">
        <w:rPr>
          <w:rFonts w:ascii="Times New Roman" w:eastAsia="標楷體" w:hAnsi="Times New Roman" w:hint="eastAsia"/>
          <w:szCs w:val="24"/>
        </w:rPr>
        <w:t>九、</w:t>
      </w:r>
      <w:r w:rsidR="004A77D7" w:rsidRPr="00C01CF1">
        <w:rPr>
          <w:rFonts w:ascii="Times New Roman" w:eastAsia="標楷體" w:hAnsi="Times New Roman"/>
          <w:szCs w:val="24"/>
        </w:rPr>
        <w:t>本中心之服務辦法，檢驗及技術服務項目及收費標準依其檢驗類別另行訂定服務細則公佈之，並得視實際需要，適時調整檢驗項目及收費標準。</w:t>
      </w:r>
    </w:p>
    <w:p w:rsidR="004A77D7" w:rsidRPr="00C01CF1" w:rsidRDefault="00F86A7F" w:rsidP="00F86A7F">
      <w:pPr>
        <w:ind w:leftChars="-118" w:left="180" w:hangingChars="193" w:hanging="463"/>
        <w:jc w:val="both"/>
        <w:rPr>
          <w:rFonts w:ascii="Times New Roman" w:eastAsia="標楷體" w:hAnsi="Times New Roman"/>
          <w:szCs w:val="24"/>
        </w:rPr>
      </w:pPr>
      <w:r w:rsidRPr="00C01CF1">
        <w:rPr>
          <w:rFonts w:ascii="Times New Roman" w:eastAsia="標楷體" w:hAnsi="Times New Roman" w:hint="eastAsia"/>
          <w:szCs w:val="24"/>
        </w:rPr>
        <w:t>十、</w:t>
      </w:r>
      <w:r w:rsidR="004A77D7" w:rsidRPr="00C01CF1">
        <w:rPr>
          <w:rFonts w:ascii="Times New Roman" w:eastAsia="標楷體" w:hAnsi="Times New Roman"/>
          <w:szCs w:val="24"/>
        </w:rPr>
        <w:t>本中心代檢費收入之提撥比例如下，校方</w:t>
      </w:r>
      <w:r w:rsidR="004A77D7" w:rsidRPr="00C01CF1">
        <w:rPr>
          <w:rFonts w:ascii="Times New Roman" w:eastAsia="標楷體" w:hAnsi="Times New Roman"/>
          <w:szCs w:val="24"/>
        </w:rPr>
        <w:t>10%</w:t>
      </w:r>
      <w:r w:rsidR="004A77D7" w:rsidRPr="00C01CF1">
        <w:rPr>
          <w:rFonts w:ascii="Times New Roman" w:eastAsia="標楷體" w:hAnsi="Times New Roman"/>
          <w:szCs w:val="24"/>
        </w:rPr>
        <w:t>，生物資源學院</w:t>
      </w:r>
      <w:r w:rsidR="004A77D7" w:rsidRPr="00C01CF1">
        <w:rPr>
          <w:rFonts w:ascii="Times New Roman" w:eastAsia="標楷體" w:hAnsi="Times New Roman"/>
          <w:szCs w:val="24"/>
        </w:rPr>
        <w:t>1.5%</w:t>
      </w:r>
      <w:r w:rsidR="004A77D7" w:rsidRPr="00C01CF1">
        <w:rPr>
          <w:rFonts w:ascii="Times New Roman" w:eastAsia="標楷體" w:hAnsi="Times New Roman"/>
          <w:szCs w:val="24"/>
        </w:rPr>
        <w:t>，執行檢驗教師所屬學系</w:t>
      </w:r>
      <w:r w:rsidR="004A77D7" w:rsidRPr="00C01CF1">
        <w:rPr>
          <w:rFonts w:ascii="Times New Roman" w:eastAsia="標楷體" w:hAnsi="Times New Roman"/>
          <w:szCs w:val="24"/>
        </w:rPr>
        <w:t>1.5%</w:t>
      </w:r>
      <w:r w:rsidR="004A77D7" w:rsidRPr="00C01CF1">
        <w:rPr>
          <w:rFonts w:ascii="Times New Roman" w:eastAsia="標楷體" w:hAnsi="Times New Roman"/>
          <w:szCs w:val="24"/>
        </w:rPr>
        <w:t>，本中心</w:t>
      </w:r>
      <w:r w:rsidR="004A77D7" w:rsidRPr="00C01CF1">
        <w:rPr>
          <w:rFonts w:ascii="Times New Roman" w:eastAsia="標楷體" w:hAnsi="Times New Roman"/>
          <w:szCs w:val="24"/>
        </w:rPr>
        <w:t>87%</w:t>
      </w:r>
      <w:r w:rsidR="004A77D7" w:rsidRPr="00C01CF1">
        <w:rPr>
          <w:rFonts w:ascii="Times New Roman" w:eastAsia="標楷體" w:hAnsi="Times New Roman"/>
          <w:szCs w:val="24"/>
        </w:rPr>
        <w:t>。</w:t>
      </w:r>
    </w:p>
    <w:p w:rsidR="004A77D7" w:rsidRPr="00C01CF1" w:rsidRDefault="00F86A7F" w:rsidP="00F86A7F">
      <w:pPr>
        <w:ind w:leftChars="-118" w:left="917" w:hangingChars="500" w:hanging="1200"/>
        <w:jc w:val="both"/>
        <w:rPr>
          <w:rFonts w:ascii="Times New Roman" w:eastAsia="標楷體" w:hAnsi="Times New Roman"/>
          <w:szCs w:val="24"/>
        </w:rPr>
      </w:pPr>
      <w:r w:rsidRPr="00C01CF1">
        <w:rPr>
          <w:rFonts w:ascii="Times New Roman" w:eastAsia="標楷體" w:hAnsi="Times New Roman" w:hint="eastAsia"/>
          <w:szCs w:val="24"/>
        </w:rPr>
        <w:t>十一、</w:t>
      </w:r>
      <w:r w:rsidR="004A77D7" w:rsidRPr="00C01CF1">
        <w:rPr>
          <w:rFonts w:ascii="Times New Roman" w:eastAsia="標楷體" w:hAnsi="Times New Roman"/>
          <w:szCs w:val="24"/>
        </w:rPr>
        <w:t>本</w:t>
      </w:r>
      <w:r w:rsidRPr="00C01CF1">
        <w:rPr>
          <w:rFonts w:ascii="Times New Roman" w:eastAsia="標楷體" w:hAnsi="Times New Roman" w:hint="eastAsia"/>
          <w:szCs w:val="24"/>
        </w:rPr>
        <w:t>要點</w:t>
      </w:r>
      <w:r w:rsidR="004A77D7" w:rsidRPr="00C01CF1">
        <w:rPr>
          <w:rFonts w:ascii="Times New Roman" w:eastAsia="標楷體" w:hAnsi="Times New Roman"/>
          <w:szCs w:val="24"/>
        </w:rPr>
        <w:t>若有未盡事宜，悉依本校相關規定辦理。</w:t>
      </w:r>
    </w:p>
    <w:p w:rsidR="004A77D7" w:rsidRPr="00C01CF1" w:rsidRDefault="00F86A7F" w:rsidP="00F86A7F">
      <w:pPr>
        <w:ind w:leftChars="-117" w:left="449" w:hangingChars="304" w:hanging="730"/>
        <w:jc w:val="both"/>
        <w:rPr>
          <w:rFonts w:ascii="Times New Roman" w:eastAsia="標楷體" w:hAnsi="Times New Roman"/>
          <w:noProof/>
          <w:szCs w:val="24"/>
        </w:rPr>
      </w:pPr>
      <w:r w:rsidRPr="00C01CF1">
        <w:rPr>
          <w:rFonts w:ascii="Times New Roman" w:eastAsia="標楷體" w:hAnsi="Times New Roman" w:hint="eastAsia"/>
          <w:szCs w:val="24"/>
        </w:rPr>
        <w:t>十二、</w:t>
      </w:r>
      <w:r w:rsidR="00BC44DB" w:rsidRPr="00C01CF1">
        <w:rPr>
          <w:rFonts w:ascii="Times New Roman" w:eastAsia="標楷體" w:hAnsi="Times New Roman"/>
        </w:rPr>
        <w:t>本</w:t>
      </w:r>
      <w:r w:rsidRPr="00C01CF1">
        <w:rPr>
          <w:rFonts w:ascii="Times New Roman" w:eastAsia="標楷體" w:hAnsi="Times New Roman" w:hint="eastAsia"/>
          <w:szCs w:val="24"/>
        </w:rPr>
        <w:t>要點</w:t>
      </w:r>
      <w:r w:rsidR="00BC44DB" w:rsidRPr="00C01CF1">
        <w:rPr>
          <w:rFonts w:ascii="Times New Roman" w:eastAsia="標楷體" w:hAnsi="Times New Roman"/>
        </w:rPr>
        <w:t>經</w:t>
      </w:r>
      <w:r w:rsidR="000C03E6" w:rsidRPr="00C01CF1">
        <w:rPr>
          <w:rFonts w:ascii="Times New Roman" w:eastAsia="標楷體" w:hAnsi="Times New Roman"/>
        </w:rPr>
        <w:t>本</w:t>
      </w:r>
      <w:r w:rsidR="00BC44DB" w:rsidRPr="00C01CF1">
        <w:rPr>
          <w:rFonts w:ascii="Times New Roman" w:eastAsia="標楷體" w:hAnsi="Times New Roman"/>
        </w:rPr>
        <w:t>院院務會議、研究發展會議、</w:t>
      </w:r>
      <w:r w:rsidR="00BC44DB" w:rsidRPr="00C01CF1">
        <w:rPr>
          <w:rFonts w:ascii="Times New Roman" w:eastAsia="標楷體" w:hAnsi="Times New Roman"/>
          <w:szCs w:val="24"/>
        </w:rPr>
        <w:t>行政會議及校務</w:t>
      </w:r>
      <w:r w:rsidR="00BC44DB" w:rsidRPr="00C01CF1">
        <w:rPr>
          <w:rFonts w:ascii="Times New Roman" w:eastAsia="標楷體" w:hAnsi="Times New Roman"/>
        </w:rPr>
        <w:t>基金管理委員會</w:t>
      </w:r>
      <w:r w:rsidR="000C03E6" w:rsidRPr="00C01CF1">
        <w:rPr>
          <w:rFonts w:ascii="Times New Roman" w:eastAsia="標楷體" w:hAnsi="Times New Roman"/>
        </w:rPr>
        <w:t>議</w:t>
      </w:r>
      <w:r w:rsidR="00BC44DB" w:rsidRPr="00C01CF1">
        <w:rPr>
          <w:rFonts w:ascii="Times New Roman" w:eastAsia="標楷體" w:hAnsi="Times New Roman"/>
          <w:szCs w:val="24"/>
        </w:rPr>
        <w:t>通過</w:t>
      </w:r>
      <w:r w:rsidR="00BC44DB" w:rsidRPr="00C01CF1">
        <w:rPr>
          <w:rFonts w:ascii="Times New Roman" w:eastAsia="標楷體" w:hAnsi="Times New Roman"/>
        </w:rPr>
        <w:t>後</w:t>
      </w:r>
      <w:r w:rsidR="00865E9E" w:rsidRPr="00C01CF1">
        <w:rPr>
          <w:rFonts w:ascii="Times New Roman" w:eastAsia="標楷體" w:hAnsi="Times New Roman" w:hint="eastAsia"/>
        </w:rPr>
        <w:t>實施</w:t>
      </w:r>
      <w:r w:rsidR="004A77D7" w:rsidRPr="00C01CF1">
        <w:rPr>
          <w:rFonts w:ascii="Times New Roman" w:eastAsia="標楷體" w:hAnsi="Times New Roman"/>
        </w:rPr>
        <w:t>。</w:t>
      </w:r>
    </w:p>
    <w:sectPr w:rsidR="004A77D7" w:rsidRPr="00C01CF1" w:rsidSect="00B6028C">
      <w:pgSz w:w="11906" w:h="16838"/>
      <w:pgMar w:top="1418"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726" w:rsidRDefault="00CB5726" w:rsidP="0065190A">
      <w:r>
        <w:separator/>
      </w:r>
    </w:p>
  </w:endnote>
  <w:endnote w:type="continuationSeparator" w:id="0">
    <w:p w:rsidR="00CB5726" w:rsidRDefault="00CB5726" w:rsidP="00651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726" w:rsidRDefault="00CB5726" w:rsidP="0065190A">
      <w:r>
        <w:separator/>
      </w:r>
    </w:p>
  </w:footnote>
  <w:footnote w:type="continuationSeparator" w:id="0">
    <w:p w:rsidR="00CB5726" w:rsidRDefault="00CB5726" w:rsidP="00651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45E92"/>
    <w:multiLevelType w:val="hybridMultilevel"/>
    <w:tmpl w:val="D8E8B576"/>
    <w:lvl w:ilvl="0" w:tplc="20944D72">
      <w:start w:val="1"/>
      <w:numFmt w:val="taiwaneseCountingThousand"/>
      <w:lvlText w:val="（%1）"/>
      <w:lvlJc w:val="left"/>
      <w:pPr>
        <w:ind w:left="622" w:hanging="480"/>
      </w:pPr>
      <w:rPr>
        <w:rFonts w:hint="eastAsia"/>
        <w:b w:val="0"/>
        <w:i w:val="0"/>
        <w:color w:val="auto"/>
        <w:sz w:val="24"/>
        <w:szCs w:val="24"/>
        <w:u w:val="none"/>
      </w:rPr>
    </w:lvl>
    <w:lvl w:ilvl="1" w:tplc="04090019" w:tentative="1">
      <w:start w:val="1"/>
      <w:numFmt w:val="ideographTraditional"/>
      <w:lvlText w:val="%2、"/>
      <w:lvlJc w:val="left"/>
      <w:pPr>
        <w:ind w:left="1059" w:hanging="480"/>
      </w:pPr>
    </w:lvl>
    <w:lvl w:ilvl="2" w:tplc="0409001B" w:tentative="1">
      <w:start w:val="1"/>
      <w:numFmt w:val="lowerRoman"/>
      <w:lvlText w:val="%3."/>
      <w:lvlJc w:val="right"/>
      <w:pPr>
        <w:ind w:left="1539" w:hanging="480"/>
      </w:pPr>
    </w:lvl>
    <w:lvl w:ilvl="3" w:tplc="0409000F" w:tentative="1">
      <w:start w:val="1"/>
      <w:numFmt w:val="decimal"/>
      <w:lvlText w:val="%4."/>
      <w:lvlJc w:val="left"/>
      <w:pPr>
        <w:ind w:left="2019" w:hanging="480"/>
      </w:pPr>
    </w:lvl>
    <w:lvl w:ilvl="4" w:tplc="04090019" w:tentative="1">
      <w:start w:val="1"/>
      <w:numFmt w:val="ideographTraditional"/>
      <w:lvlText w:val="%5、"/>
      <w:lvlJc w:val="left"/>
      <w:pPr>
        <w:ind w:left="2499" w:hanging="480"/>
      </w:pPr>
    </w:lvl>
    <w:lvl w:ilvl="5" w:tplc="0409001B" w:tentative="1">
      <w:start w:val="1"/>
      <w:numFmt w:val="lowerRoman"/>
      <w:lvlText w:val="%6."/>
      <w:lvlJc w:val="right"/>
      <w:pPr>
        <w:ind w:left="2979" w:hanging="480"/>
      </w:pPr>
    </w:lvl>
    <w:lvl w:ilvl="6" w:tplc="0409000F" w:tentative="1">
      <w:start w:val="1"/>
      <w:numFmt w:val="decimal"/>
      <w:lvlText w:val="%7."/>
      <w:lvlJc w:val="left"/>
      <w:pPr>
        <w:ind w:left="3459" w:hanging="480"/>
      </w:pPr>
    </w:lvl>
    <w:lvl w:ilvl="7" w:tplc="04090019" w:tentative="1">
      <w:start w:val="1"/>
      <w:numFmt w:val="ideographTraditional"/>
      <w:lvlText w:val="%8、"/>
      <w:lvlJc w:val="left"/>
      <w:pPr>
        <w:ind w:left="3939" w:hanging="480"/>
      </w:pPr>
    </w:lvl>
    <w:lvl w:ilvl="8" w:tplc="0409001B" w:tentative="1">
      <w:start w:val="1"/>
      <w:numFmt w:val="lowerRoman"/>
      <w:lvlText w:val="%9."/>
      <w:lvlJc w:val="right"/>
      <w:pPr>
        <w:ind w:left="4419" w:hanging="480"/>
      </w:pPr>
    </w:lvl>
  </w:abstractNum>
  <w:abstractNum w:abstractNumId="1" w15:restartNumberingAfterBreak="0">
    <w:nsid w:val="5303704F"/>
    <w:multiLevelType w:val="hybridMultilevel"/>
    <w:tmpl w:val="47F86476"/>
    <w:lvl w:ilvl="0" w:tplc="7C34378C">
      <w:start w:val="1"/>
      <w:numFmt w:val="taiwaneseCountingThousand"/>
      <w:lvlText w:val="%1、"/>
      <w:lvlJc w:val="left"/>
      <w:pPr>
        <w:ind w:left="1473" w:hanging="480"/>
      </w:pPr>
      <w:rPr>
        <w:rFonts w:hint="default"/>
        <w:b/>
        <w:color w:val="auto"/>
        <w:u w:val="single"/>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 w15:restartNumberingAfterBreak="0">
    <w:nsid w:val="6C734463"/>
    <w:multiLevelType w:val="hybridMultilevel"/>
    <w:tmpl w:val="47502ACC"/>
    <w:lvl w:ilvl="0" w:tplc="576678D0">
      <w:start w:val="1"/>
      <w:numFmt w:val="decimal"/>
      <w:lvlText w:val="%1."/>
      <w:lvlJc w:val="left"/>
      <w:pPr>
        <w:ind w:left="511" w:hanging="360"/>
      </w:pPr>
      <w:rPr>
        <w:rFonts w:hint="default"/>
      </w:rPr>
    </w:lvl>
    <w:lvl w:ilvl="1" w:tplc="04090019" w:tentative="1">
      <w:start w:val="1"/>
      <w:numFmt w:val="ideographTraditional"/>
      <w:lvlText w:val="%2、"/>
      <w:lvlJc w:val="left"/>
      <w:pPr>
        <w:ind w:left="1111" w:hanging="480"/>
      </w:pPr>
    </w:lvl>
    <w:lvl w:ilvl="2" w:tplc="0409001B" w:tentative="1">
      <w:start w:val="1"/>
      <w:numFmt w:val="lowerRoman"/>
      <w:lvlText w:val="%3."/>
      <w:lvlJc w:val="right"/>
      <w:pPr>
        <w:ind w:left="1591" w:hanging="480"/>
      </w:pPr>
    </w:lvl>
    <w:lvl w:ilvl="3" w:tplc="0409000F" w:tentative="1">
      <w:start w:val="1"/>
      <w:numFmt w:val="decimal"/>
      <w:lvlText w:val="%4."/>
      <w:lvlJc w:val="left"/>
      <w:pPr>
        <w:ind w:left="2071" w:hanging="480"/>
      </w:pPr>
    </w:lvl>
    <w:lvl w:ilvl="4" w:tplc="04090019" w:tentative="1">
      <w:start w:val="1"/>
      <w:numFmt w:val="ideographTraditional"/>
      <w:lvlText w:val="%5、"/>
      <w:lvlJc w:val="left"/>
      <w:pPr>
        <w:ind w:left="2551" w:hanging="480"/>
      </w:pPr>
    </w:lvl>
    <w:lvl w:ilvl="5" w:tplc="0409001B" w:tentative="1">
      <w:start w:val="1"/>
      <w:numFmt w:val="lowerRoman"/>
      <w:lvlText w:val="%6."/>
      <w:lvlJc w:val="right"/>
      <w:pPr>
        <w:ind w:left="3031" w:hanging="480"/>
      </w:pPr>
    </w:lvl>
    <w:lvl w:ilvl="6" w:tplc="0409000F" w:tentative="1">
      <w:start w:val="1"/>
      <w:numFmt w:val="decimal"/>
      <w:lvlText w:val="%7."/>
      <w:lvlJc w:val="left"/>
      <w:pPr>
        <w:ind w:left="3511" w:hanging="480"/>
      </w:pPr>
    </w:lvl>
    <w:lvl w:ilvl="7" w:tplc="04090019" w:tentative="1">
      <w:start w:val="1"/>
      <w:numFmt w:val="ideographTraditional"/>
      <w:lvlText w:val="%8、"/>
      <w:lvlJc w:val="left"/>
      <w:pPr>
        <w:ind w:left="3991" w:hanging="480"/>
      </w:pPr>
    </w:lvl>
    <w:lvl w:ilvl="8" w:tplc="0409001B" w:tentative="1">
      <w:start w:val="1"/>
      <w:numFmt w:val="lowerRoman"/>
      <w:lvlText w:val="%9."/>
      <w:lvlJc w:val="right"/>
      <w:pPr>
        <w:ind w:left="4471" w:hanging="480"/>
      </w:pPr>
    </w:lvl>
  </w:abstractNum>
  <w:abstractNum w:abstractNumId="3" w15:restartNumberingAfterBreak="0">
    <w:nsid w:val="70FE0D9B"/>
    <w:multiLevelType w:val="hybridMultilevel"/>
    <w:tmpl w:val="4C445752"/>
    <w:lvl w:ilvl="0" w:tplc="3A82F024">
      <w:start w:val="1"/>
      <w:numFmt w:val="taiwaneseCountingThousand"/>
      <w:lvlText w:val="（%1）"/>
      <w:lvlJc w:val="left"/>
      <w:pPr>
        <w:ind w:left="1473" w:hanging="480"/>
      </w:pPr>
      <w:rPr>
        <w:rFonts w:hint="eastAsia"/>
        <w:b/>
        <w:color w:val="auto"/>
        <w:sz w:val="24"/>
        <w:szCs w:val="24"/>
        <w:u w:val="single"/>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7D7"/>
    <w:rsid w:val="000227CF"/>
    <w:rsid w:val="00031137"/>
    <w:rsid w:val="00074AF7"/>
    <w:rsid w:val="00091FE2"/>
    <w:rsid w:val="00096F3F"/>
    <w:rsid w:val="00097C2E"/>
    <w:rsid w:val="000C03E6"/>
    <w:rsid w:val="00133337"/>
    <w:rsid w:val="001367B9"/>
    <w:rsid w:val="00142EEA"/>
    <w:rsid w:val="001512C9"/>
    <w:rsid w:val="00175EB6"/>
    <w:rsid w:val="00216B02"/>
    <w:rsid w:val="00277237"/>
    <w:rsid w:val="00282457"/>
    <w:rsid w:val="002A6A14"/>
    <w:rsid w:val="002C18A3"/>
    <w:rsid w:val="002C3E36"/>
    <w:rsid w:val="002E422F"/>
    <w:rsid w:val="002E725C"/>
    <w:rsid w:val="00317D4A"/>
    <w:rsid w:val="003221B4"/>
    <w:rsid w:val="00382095"/>
    <w:rsid w:val="00401C09"/>
    <w:rsid w:val="00431863"/>
    <w:rsid w:val="004433A6"/>
    <w:rsid w:val="004675A5"/>
    <w:rsid w:val="004A77D7"/>
    <w:rsid w:val="004B358A"/>
    <w:rsid w:val="004C368D"/>
    <w:rsid w:val="005058DB"/>
    <w:rsid w:val="005078A5"/>
    <w:rsid w:val="005408C0"/>
    <w:rsid w:val="005428E7"/>
    <w:rsid w:val="005E3B50"/>
    <w:rsid w:val="005E5B61"/>
    <w:rsid w:val="00611CFA"/>
    <w:rsid w:val="006359FC"/>
    <w:rsid w:val="00635B1C"/>
    <w:rsid w:val="0065190A"/>
    <w:rsid w:val="00651AE8"/>
    <w:rsid w:val="00697CD8"/>
    <w:rsid w:val="006A3C9E"/>
    <w:rsid w:val="007058FA"/>
    <w:rsid w:val="0071322C"/>
    <w:rsid w:val="00723C89"/>
    <w:rsid w:val="00732FD9"/>
    <w:rsid w:val="007A42AA"/>
    <w:rsid w:val="007D5257"/>
    <w:rsid w:val="008107EE"/>
    <w:rsid w:val="00865E9E"/>
    <w:rsid w:val="00873C04"/>
    <w:rsid w:val="0088202B"/>
    <w:rsid w:val="008B5BB7"/>
    <w:rsid w:val="008C237E"/>
    <w:rsid w:val="008C718A"/>
    <w:rsid w:val="008E5E7A"/>
    <w:rsid w:val="00931E4A"/>
    <w:rsid w:val="0097342B"/>
    <w:rsid w:val="009768B5"/>
    <w:rsid w:val="009C75F1"/>
    <w:rsid w:val="009D62DD"/>
    <w:rsid w:val="00A018D8"/>
    <w:rsid w:val="00A05BF5"/>
    <w:rsid w:val="00A25B00"/>
    <w:rsid w:val="00A50FD4"/>
    <w:rsid w:val="00A83CE1"/>
    <w:rsid w:val="00AB2729"/>
    <w:rsid w:val="00AB7ED4"/>
    <w:rsid w:val="00B10B5F"/>
    <w:rsid w:val="00B113E6"/>
    <w:rsid w:val="00B23A7F"/>
    <w:rsid w:val="00B24935"/>
    <w:rsid w:val="00B6028C"/>
    <w:rsid w:val="00B81966"/>
    <w:rsid w:val="00BB74D5"/>
    <w:rsid w:val="00BC44DB"/>
    <w:rsid w:val="00BE408A"/>
    <w:rsid w:val="00C01CF1"/>
    <w:rsid w:val="00C63DB0"/>
    <w:rsid w:val="00C818D3"/>
    <w:rsid w:val="00C866E7"/>
    <w:rsid w:val="00CB5726"/>
    <w:rsid w:val="00CC21CD"/>
    <w:rsid w:val="00CE3839"/>
    <w:rsid w:val="00CF6E33"/>
    <w:rsid w:val="00D365A5"/>
    <w:rsid w:val="00D73743"/>
    <w:rsid w:val="00DC446D"/>
    <w:rsid w:val="00DD4F45"/>
    <w:rsid w:val="00DF5C8A"/>
    <w:rsid w:val="00E26F33"/>
    <w:rsid w:val="00E329C9"/>
    <w:rsid w:val="00E35BBB"/>
    <w:rsid w:val="00E91658"/>
    <w:rsid w:val="00ED0B0F"/>
    <w:rsid w:val="00EE3383"/>
    <w:rsid w:val="00EE3734"/>
    <w:rsid w:val="00F86A7F"/>
    <w:rsid w:val="00FA697C"/>
    <w:rsid w:val="00FC4737"/>
    <w:rsid w:val="00FE4F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D2E352-8273-477A-A08D-996C5CFB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7D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7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77D7"/>
    <w:pPr>
      <w:ind w:leftChars="200" w:left="480"/>
    </w:pPr>
  </w:style>
  <w:style w:type="paragraph" w:styleId="a5">
    <w:name w:val="header"/>
    <w:basedOn w:val="a"/>
    <w:link w:val="a6"/>
    <w:uiPriority w:val="99"/>
    <w:unhideWhenUsed/>
    <w:rsid w:val="0065190A"/>
    <w:pPr>
      <w:tabs>
        <w:tab w:val="center" w:pos="4153"/>
        <w:tab w:val="right" w:pos="8306"/>
      </w:tabs>
      <w:snapToGrid w:val="0"/>
    </w:pPr>
    <w:rPr>
      <w:sz w:val="20"/>
      <w:szCs w:val="20"/>
    </w:rPr>
  </w:style>
  <w:style w:type="character" w:customStyle="1" w:styleId="a6">
    <w:name w:val="頁首 字元"/>
    <w:basedOn w:val="a0"/>
    <w:link w:val="a5"/>
    <w:uiPriority w:val="99"/>
    <w:rsid w:val="0065190A"/>
    <w:rPr>
      <w:rFonts w:ascii="Calibri" w:eastAsia="新細明體" w:hAnsi="Calibri" w:cs="Times New Roman"/>
      <w:sz w:val="20"/>
      <w:szCs w:val="20"/>
    </w:rPr>
  </w:style>
  <w:style w:type="paragraph" w:styleId="a7">
    <w:name w:val="footer"/>
    <w:basedOn w:val="a"/>
    <w:link w:val="a8"/>
    <w:uiPriority w:val="99"/>
    <w:unhideWhenUsed/>
    <w:rsid w:val="0065190A"/>
    <w:pPr>
      <w:tabs>
        <w:tab w:val="center" w:pos="4153"/>
        <w:tab w:val="right" w:pos="8306"/>
      </w:tabs>
      <w:snapToGrid w:val="0"/>
    </w:pPr>
    <w:rPr>
      <w:sz w:val="20"/>
      <w:szCs w:val="20"/>
    </w:rPr>
  </w:style>
  <w:style w:type="character" w:customStyle="1" w:styleId="a8">
    <w:name w:val="頁尾 字元"/>
    <w:basedOn w:val="a0"/>
    <w:link w:val="a7"/>
    <w:uiPriority w:val="99"/>
    <w:rsid w:val="0065190A"/>
    <w:rPr>
      <w:rFonts w:ascii="Calibri" w:eastAsia="新細明體" w:hAnsi="Calibri" w:cs="Times New Roman"/>
      <w:sz w:val="20"/>
      <w:szCs w:val="20"/>
    </w:rPr>
  </w:style>
  <w:style w:type="paragraph" w:styleId="a9">
    <w:name w:val="Balloon Text"/>
    <w:basedOn w:val="a"/>
    <w:link w:val="aa"/>
    <w:uiPriority w:val="99"/>
    <w:semiHidden/>
    <w:unhideWhenUsed/>
    <w:rsid w:val="006A3C9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A3C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jjlin</cp:lastModifiedBy>
  <cp:revision>7</cp:revision>
  <cp:lastPrinted>2020-08-26T03:31:00Z</cp:lastPrinted>
  <dcterms:created xsi:type="dcterms:W3CDTF">2020-08-24T05:30:00Z</dcterms:created>
  <dcterms:modified xsi:type="dcterms:W3CDTF">2020-10-28T06:59:00Z</dcterms:modified>
</cp:coreProperties>
</file>