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E98" w:rsidRDefault="00B47E98" w:rsidP="00B47E98">
      <w:pPr>
        <w:spacing w:line="0" w:lineRule="atLeast"/>
        <w:jc w:val="center"/>
        <w:rPr>
          <w:rFonts w:ascii="標楷體" w:eastAsia="標楷體" w:hAnsi="標楷體"/>
          <w:sz w:val="32"/>
        </w:rPr>
      </w:pPr>
      <w:bookmarkStart w:id="0" w:name="_GoBack"/>
      <w:bookmarkEnd w:id="0"/>
      <w:r w:rsidRPr="00794D73">
        <w:rPr>
          <w:rFonts w:ascii="標楷體" w:eastAsia="標楷體" w:hAnsi="標楷體" w:hint="eastAsia"/>
          <w:sz w:val="32"/>
        </w:rPr>
        <w:t>國立蘭大學生物資源學院院務會議規則</w:t>
      </w:r>
    </w:p>
    <w:p w:rsidR="00794D73" w:rsidRDefault="00794D73">
      <w:pPr>
        <w:rPr>
          <w:rFonts w:ascii="標楷體" w:eastAsia="標楷體" w:hAnsi="標楷體"/>
        </w:rPr>
      </w:pPr>
    </w:p>
    <w:p w:rsidR="00B47E98" w:rsidRDefault="00B47E98">
      <w:pPr>
        <w:rPr>
          <w:rFonts w:ascii="標楷體" w:eastAsia="標楷體" w:hAnsi="標楷體"/>
        </w:rPr>
      </w:pPr>
    </w:p>
    <w:p w:rsidR="00B47E98" w:rsidRDefault="00B47E98" w:rsidP="00B47E98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</w:pPr>
      <w:r w:rsidRPr="00B47E98"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  <w:t xml:space="preserve">92 </w:t>
      </w:r>
      <w:r w:rsidRPr="00B47E98">
        <w:rPr>
          <w:rFonts w:ascii="標楷體" w:eastAsia="標楷體" w:hAnsi="Times New Roman" w:cs="Times New Roman" w:hint="eastAsia"/>
          <w:b/>
          <w:bCs/>
          <w:kern w:val="0"/>
          <w:sz w:val="20"/>
          <w:szCs w:val="20"/>
        </w:rPr>
        <w:t>年</w:t>
      </w:r>
      <w:r w:rsidRPr="00B47E98"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  <w:t xml:space="preserve"> 11 </w:t>
      </w:r>
      <w:r w:rsidRPr="00B47E98">
        <w:rPr>
          <w:rFonts w:ascii="標楷體" w:eastAsia="標楷體" w:hAnsi="Times New Roman" w:cs="Times New Roman" w:hint="eastAsia"/>
          <w:b/>
          <w:bCs/>
          <w:kern w:val="0"/>
          <w:sz w:val="20"/>
          <w:szCs w:val="20"/>
        </w:rPr>
        <w:t>月</w:t>
      </w:r>
      <w:r w:rsidRPr="00B47E98"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  <w:t xml:space="preserve"> 5 </w:t>
      </w:r>
      <w:r w:rsidRPr="00B47E98">
        <w:rPr>
          <w:rFonts w:ascii="標楷體" w:eastAsia="標楷體" w:hAnsi="Times New Roman" w:cs="Times New Roman" w:hint="eastAsia"/>
          <w:b/>
          <w:bCs/>
          <w:kern w:val="0"/>
          <w:sz w:val="20"/>
          <w:szCs w:val="20"/>
        </w:rPr>
        <w:t>日本院第一次院務會議審議通過</w:t>
      </w:r>
    </w:p>
    <w:p w:rsidR="00B47E98" w:rsidRDefault="00B47E98" w:rsidP="00B47E98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</w:pPr>
      <w:r w:rsidRPr="00B47E98">
        <w:rPr>
          <w:rFonts w:ascii="標楷體" w:eastAsia="標楷體" w:hAnsi="Times New Roman" w:cs="Times New Roman" w:hint="eastAsia"/>
          <w:b/>
          <w:bCs/>
          <w:kern w:val="0"/>
          <w:sz w:val="20"/>
          <w:szCs w:val="20"/>
        </w:rPr>
        <w:t>108.6.13生資學院107學年度第6次院務會議</w:t>
      </w:r>
      <w:r w:rsidR="003D482E">
        <w:rPr>
          <w:rFonts w:ascii="標楷體" w:eastAsia="標楷體" w:hAnsi="Times New Roman" w:cs="Times New Roman" w:hint="eastAsia"/>
          <w:b/>
          <w:bCs/>
          <w:kern w:val="0"/>
          <w:sz w:val="20"/>
          <w:szCs w:val="20"/>
        </w:rPr>
        <w:t>修訂通過</w:t>
      </w:r>
    </w:p>
    <w:p w:rsidR="00073ED5" w:rsidRPr="00B47E98" w:rsidRDefault="00073ED5" w:rsidP="00B47E98">
      <w:pPr>
        <w:autoSpaceDE w:val="0"/>
        <w:autoSpaceDN w:val="0"/>
        <w:adjustRightInd w:val="0"/>
        <w:spacing w:line="0" w:lineRule="atLeast"/>
        <w:jc w:val="right"/>
        <w:rPr>
          <w:rFonts w:ascii="標楷體" w:eastAsia="標楷體" w:hAnsi="Times New Roman" w:cs="Times New Roman"/>
          <w:b/>
          <w:bCs/>
          <w:kern w:val="0"/>
          <w:sz w:val="20"/>
          <w:szCs w:val="20"/>
        </w:rPr>
      </w:pP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一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國立宜蘭大學生物資源學院（以下簡稱本院）依本校組織規程</w:t>
      </w:r>
      <w:r w:rsidRPr="00B47E98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第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三十四條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規定，訂定本規則。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二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本院院務會議由本院當然代表、教師代表、助教及職工代表、學生代表組成之，其產生辦法另訂之。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三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本院院務會議討論下列事項：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一、本院教務、學務、總務、研究等有關事項。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二、本院各項組織章程、規則、辦法等事項。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三、以生物資源學院名義向校方提出之議案。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四、本院院務會議代表連署或系所務會議通過之提案。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五、本院未來發展之規劃事項。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Chars="500" w:left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六、院長提議及其他有關院務事項。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四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本院院務會議以院長為主席，院長因故不能出席時，由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其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職務代理人代理主席或由院長就應出席人員中指定一人代理主席，未經指定代理主席時，由出席人員公推一人為代理主席。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五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本院院務會議每學期至少應舉行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二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次，由院長召集之，院務會議代表三分之一以上認為有必要時，亦得以書面連署院長召集之。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六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推選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代表應親自出席，當然代表如因故不能出席時，得委託代理人代為出席。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七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代表</w:t>
      </w:r>
      <w:r w:rsidR="00073ED5" w:rsidRPr="00073ED5">
        <w:rPr>
          <w:rFonts w:ascii="標楷體" w:eastAsia="細明體" w:hAnsi="Times New Roman" w:cs="Times New Roman" w:hint="eastAsia"/>
          <w:bCs/>
          <w:kern w:val="0"/>
          <w:szCs w:val="28"/>
        </w:rPr>
        <w:t>過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半數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出席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始得開議，出席</w:t>
      </w:r>
      <w:r w:rsidR="00073ED5" w:rsidRPr="00073ED5">
        <w:rPr>
          <w:rFonts w:ascii="標楷體" w:eastAsia="細明體" w:hAnsi="Times New Roman" w:cs="Times New Roman" w:hint="eastAsia"/>
          <w:b/>
          <w:bCs/>
          <w:color w:val="FF0000"/>
          <w:kern w:val="0"/>
          <w:szCs w:val="28"/>
          <w:u w:val="single"/>
        </w:rPr>
        <w:t>代表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過半數同意始得決議。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八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本院院務會議為明瞭本院院務之實際情況，得請各單位提出書面或口頭報告。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標楷體" w:eastAsia="細明體" w:hAnsi="Times New Roman" w:cs="Times New Roman"/>
          <w:bCs/>
          <w:kern w:val="0"/>
          <w:szCs w:val="28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本院院務會議之提案，除院長交議及各系所提議者外，應有院務會議代表三人以上之連署。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細明體" w:eastAsia="細明體" w:hAnsi="Times New Roman" w:cs="Times New Roman"/>
          <w:bCs/>
          <w:kern w:val="0"/>
          <w:szCs w:val="20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十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本院院務會議開議時，除第二條規定之應出席人員外，院長得依討論事項之內容邀請相關人員列席。</w:t>
      </w:r>
    </w:p>
    <w:p w:rsidR="00B47E98" w:rsidRPr="00B47E98" w:rsidRDefault="00B47E98" w:rsidP="00B47E98">
      <w:pPr>
        <w:autoSpaceDE w:val="0"/>
        <w:autoSpaceDN w:val="0"/>
        <w:adjustRightInd w:val="0"/>
        <w:spacing w:line="340" w:lineRule="exact"/>
        <w:ind w:left="1200" w:hangingChars="500" w:hanging="1200"/>
        <w:rPr>
          <w:rFonts w:ascii="細明體" w:eastAsia="細明體" w:hAnsi="Times New Roman" w:cs="Times New Roman"/>
          <w:bCs/>
          <w:kern w:val="0"/>
          <w:szCs w:val="20"/>
        </w:rPr>
      </w:pP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第十一條</w:t>
      </w:r>
      <w:r w:rsidRPr="00B47E98">
        <w:rPr>
          <w:rFonts w:ascii="標楷體" w:eastAsia="細明體" w:hAnsi="Times New Roman" w:cs="Times New Roman"/>
          <w:bCs/>
          <w:kern w:val="0"/>
          <w:szCs w:val="28"/>
        </w:rPr>
        <w:t xml:space="preserve"> </w:t>
      </w:r>
      <w:r w:rsidRPr="00B47E98">
        <w:rPr>
          <w:rFonts w:ascii="標楷體" w:eastAsia="細明體" w:hAnsi="Times New Roman" w:cs="Times New Roman" w:hint="eastAsia"/>
          <w:bCs/>
          <w:kern w:val="0"/>
          <w:szCs w:val="28"/>
        </w:rPr>
        <w:t>本規則經院務會議通過，呈報校長核定後施行。</w:t>
      </w:r>
    </w:p>
    <w:p w:rsidR="00B47E98" w:rsidRPr="00073ED5" w:rsidRDefault="00B47E98">
      <w:pPr>
        <w:rPr>
          <w:rFonts w:ascii="標楷體" w:eastAsia="標楷體" w:hAnsi="標楷體"/>
        </w:rPr>
      </w:pPr>
    </w:p>
    <w:sectPr w:rsidR="00B47E98" w:rsidRPr="00073ED5" w:rsidSect="00794D7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A8F" w:rsidRDefault="00F54A8F" w:rsidP="0037149A">
      <w:r>
        <w:separator/>
      </w:r>
    </w:p>
  </w:endnote>
  <w:endnote w:type="continuationSeparator" w:id="0">
    <w:p w:rsidR="00F54A8F" w:rsidRDefault="00F54A8F" w:rsidP="00371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A8F" w:rsidRDefault="00F54A8F" w:rsidP="0037149A">
      <w:r>
        <w:separator/>
      </w:r>
    </w:p>
  </w:footnote>
  <w:footnote w:type="continuationSeparator" w:id="0">
    <w:p w:rsidR="00F54A8F" w:rsidRDefault="00F54A8F" w:rsidP="00371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322830"/>
    <w:multiLevelType w:val="hybridMultilevel"/>
    <w:tmpl w:val="78D4C3AC"/>
    <w:lvl w:ilvl="0" w:tplc="8AC4F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D73"/>
    <w:rsid w:val="0001060B"/>
    <w:rsid w:val="00073ED5"/>
    <w:rsid w:val="000B40C8"/>
    <w:rsid w:val="000D2D2D"/>
    <w:rsid w:val="0019336D"/>
    <w:rsid w:val="002166AA"/>
    <w:rsid w:val="0037149A"/>
    <w:rsid w:val="003D482E"/>
    <w:rsid w:val="0055083E"/>
    <w:rsid w:val="006161EF"/>
    <w:rsid w:val="006F4959"/>
    <w:rsid w:val="00794D73"/>
    <w:rsid w:val="008C3577"/>
    <w:rsid w:val="008E4397"/>
    <w:rsid w:val="009F448E"/>
    <w:rsid w:val="00B37C26"/>
    <w:rsid w:val="00B47E98"/>
    <w:rsid w:val="00E870D7"/>
    <w:rsid w:val="00EC3D47"/>
    <w:rsid w:val="00F54A8F"/>
    <w:rsid w:val="00FB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4A3C6C-58DA-484F-92D5-A6A64CD1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D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0C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7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149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71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149A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166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12</cp:revision>
  <cp:lastPrinted>2019-06-06T07:23:00Z</cp:lastPrinted>
  <dcterms:created xsi:type="dcterms:W3CDTF">2019-06-06T05:50:00Z</dcterms:created>
  <dcterms:modified xsi:type="dcterms:W3CDTF">2019-10-01T01:47:00Z</dcterms:modified>
</cp:coreProperties>
</file>